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3D" w:rsidRPr="00046898" w:rsidRDefault="00046898" w:rsidP="00046898">
      <w:pPr>
        <w:pStyle w:val="a5"/>
        <w:jc w:val="right"/>
        <w:rPr>
          <w:rFonts w:ascii="Times New Roman" w:hAnsi="Times New Roman" w:cs="Times New Roman"/>
          <w:sz w:val="28"/>
          <w:lang w:val="ru-RU"/>
        </w:rPr>
      </w:pPr>
      <w:r w:rsidRPr="00046898">
        <w:rPr>
          <w:rFonts w:ascii="Times New Roman" w:hAnsi="Times New Roman" w:cs="Times New Roman"/>
          <w:sz w:val="28"/>
          <w:lang w:val="ru-RU"/>
        </w:rPr>
        <w:t>УТВЕРЖДЕНО</w:t>
      </w:r>
    </w:p>
    <w:p w:rsidR="003D0D3D" w:rsidRPr="00046898" w:rsidRDefault="00046898" w:rsidP="00046898">
      <w:pPr>
        <w:pStyle w:val="a5"/>
        <w:jc w:val="right"/>
        <w:rPr>
          <w:rFonts w:ascii="Times New Roman" w:hAnsi="Times New Roman" w:cs="Times New Roman"/>
          <w:sz w:val="28"/>
          <w:lang w:val="ru-RU"/>
        </w:rPr>
      </w:pPr>
      <w:r w:rsidRPr="00046898">
        <w:rPr>
          <w:rFonts w:ascii="Times New Roman" w:hAnsi="Times New Roman" w:cs="Times New Roman"/>
          <w:sz w:val="28"/>
          <w:lang w:val="ru-RU"/>
        </w:rPr>
        <w:t>Решением Наблюдательного совета</w:t>
      </w:r>
    </w:p>
    <w:p w:rsidR="00046898" w:rsidRPr="00046898" w:rsidRDefault="00046898" w:rsidP="00046898">
      <w:pPr>
        <w:pStyle w:val="a5"/>
        <w:jc w:val="right"/>
        <w:rPr>
          <w:rFonts w:ascii="Times New Roman" w:hAnsi="Times New Roman" w:cs="Times New Roman"/>
          <w:sz w:val="28"/>
          <w:lang w:val="ru-RU"/>
        </w:rPr>
      </w:pPr>
      <w:r w:rsidRPr="00046898">
        <w:rPr>
          <w:rFonts w:ascii="Times New Roman" w:hAnsi="Times New Roman" w:cs="Times New Roman"/>
          <w:sz w:val="28"/>
          <w:lang w:val="ru-RU"/>
        </w:rPr>
        <w:t>КГП на ПХВ «Городская поликлиника №24»</w:t>
      </w:r>
    </w:p>
    <w:p w:rsidR="00046898" w:rsidRPr="00046898" w:rsidRDefault="00046898" w:rsidP="00046898">
      <w:pPr>
        <w:pStyle w:val="a5"/>
        <w:jc w:val="right"/>
        <w:rPr>
          <w:rFonts w:ascii="Times New Roman" w:hAnsi="Times New Roman" w:cs="Times New Roman"/>
          <w:sz w:val="28"/>
          <w:lang w:val="ru-RU"/>
        </w:rPr>
      </w:pPr>
      <w:r w:rsidRPr="00046898">
        <w:rPr>
          <w:rFonts w:ascii="Times New Roman" w:hAnsi="Times New Roman" w:cs="Times New Roman"/>
          <w:sz w:val="28"/>
          <w:lang w:val="ru-RU"/>
        </w:rPr>
        <w:t>Управления общественного здоровья города Алматы</w:t>
      </w:r>
    </w:p>
    <w:p w:rsidR="00046898" w:rsidRPr="00046898" w:rsidRDefault="00046898" w:rsidP="00046898">
      <w:pPr>
        <w:pStyle w:val="a5"/>
        <w:jc w:val="right"/>
        <w:rPr>
          <w:rFonts w:ascii="Times New Roman" w:hAnsi="Times New Roman" w:cs="Times New Roman"/>
          <w:i/>
          <w:sz w:val="28"/>
          <w:lang w:val="ru-RU"/>
        </w:rPr>
      </w:pPr>
      <w:r w:rsidRPr="00046898">
        <w:rPr>
          <w:rFonts w:ascii="Times New Roman" w:hAnsi="Times New Roman" w:cs="Times New Roman"/>
          <w:i/>
          <w:sz w:val="28"/>
          <w:lang w:val="ru-RU"/>
        </w:rPr>
        <w:t>(протокол №</w:t>
      </w:r>
      <w:proofErr w:type="gramStart"/>
      <w:r w:rsidR="002B1277">
        <w:rPr>
          <w:rFonts w:ascii="Times New Roman" w:hAnsi="Times New Roman" w:cs="Times New Roman"/>
          <w:i/>
          <w:sz w:val="28"/>
          <w:lang w:val="ru-RU"/>
        </w:rPr>
        <w:t xml:space="preserve">8 </w:t>
      </w:r>
      <w:r w:rsidRPr="00046898">
        <w:rPr>
          <w:rFonts w:ascii="Times New Roman" w:hAnsi="Times New Roman" w:cs="Times New Roman"/>
          <w:i/>
          <w:sz w:val="28"/>
          <w:lang w:val="ru-RU"/>
        </w:rPr>
        <w:t xml:space="preserve"> 03</w:t>
      </w:r>
      <w:proofErr w:type="gramEnd"/>
      <w:r w:rsidRPr="00046898">
        <w:rPr>
          <w:rFonts w:ascii="Times New Roman" w:hAnsi="Times New Roman" w:cs="Times New Roman"/>
          <w:i/>
          <w:sz w:val="28"/>
          <w:lang w:val="ru-RU"/>
        </w:rPr>
        <w:t xml:space="preserve"> декабря 2021года)</w:t>
      </w:r>
    </w:p>
    <w:p w:rsidR="003D0D3D" w:rsidRPr="00046898" w:rsidRDefault="003D0D3D" w:rsidP="00046898">
      <w:pPr>
        <w:pStyle w:val="a5"/>
        <w:jc w:val="right"/>
        <w:rPr>
          <w:rFonts w:ascii="Times New Roman" w:hAnsi="Times New Roman" w:cs="Times New Roman"/>
          <w:sz w:val="28"/>
          <w:lang w:val="ru-RU"/>
        </w:rPr>
      </w:pPr>
    </w:p>
    <w:p w:rsidR="003D0D3D" w:rsidRDefault="003D0D3D" w:rsidP="003D0D3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3CF9" w:rsidRPr="003D0D3D" w:rsidRDefault="00913CF9" w:rsidP="003D0D3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0D3D" w:rsidRPr="003D0D3D" w:rsidRDefault="003D0D3D" w:rsidP="003D0D3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0D3D" w:rsidRPr="00046898" w:rsidRDefault="00046898" w:rsidP="003D0D3D">
      <w:pPr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  <w:r w:rsidRPr="00046898">
        <w:rPr>
          <w:rFonts w:ascii="Times New Roman" w:hAnsi="Times New Roman" w:cs="Times New Roman"/>
          <w:b/>
          <w:sz w:val="40"/>
          <w:szCs w:val="28"/>
          <w:lang w:val="ru-RU"/>
        </w:rPr>
        <w:t>СТРАТЕГИЧЕСКИЙ ПЛАН</w:t>
      </w:r>
    </w:p>
    <w:p w:rsidR="003D0D3D" w:rsidRPr="00046898" w:rsidRDefault="00046898" w:rsidP="00046898">
      <w:pPr>
        <w:pStyle w:val="a5"/>
        <w:jc w:val="center"/>
        <w:rPr>
          <w:rFonts w:ascii="Times New Roman" w:hAnsi="Times New Roman" w:cs="Times New Roman"/>
          <w:sz w:val="36"/>
          <w:lang w:val="ru-RU"/>
        </w:rPr>
      </w:pPr>
      <w:r w:rsidRPr="00046898">
        <w:rPr>
          <w:rFonts w:ascii="Times New Roman" w:hAnsi="Times New Roman" w:cs="Times New Roman"/>
          <w:sz w:val="36"/>
          <w:lang w:val="ru-RU"/>
        </w:rPr>
        <w:t>КГ</w:t>
      </w:r>
      <w:r w:rsidR="003D0D3D" w:rsidRPr="00046898">
        <w:rPr>
          <w:rFonts w:ascii="Times New Roman" w:hAnsi="Times New Roman" w:cs="Times New Roman"/>
          <w:sz w:val="36"/>
          <w:lang w:val="ru-RU"/>
        </w:rPr>
        <w:t>П на ПХВ «Городская поликлиника №24»</w:t>
      </w:r>
    </w:p>
    <w:p w:rsidR="003D0D3D" w:rsidRPr="00046898" w:rsidRDefault="003D0D3D" w:rsidP="00046898">
      <w:pPr>
        <w:pStyle w:val="a5"/>
        <w:jc w:val="center"/>
        <w:rPr>
          <w:rFonts w:ascii="Times New Roman" w:hAnsi="Times New Roman" w:cs="Times New Roman"/>
          <w:sz w:val="36"/>
          <w:lang w:val="ru-RU"/>
        </w:rPr>
      </w:pPr>
      <w:r w:rsidRPr="00046898">
        <w:rPr>
          <w:rFonts w:ascii="Times New Roman" w:hAnsi="Times New Roman" w:cs="Times New Roman"/>
          <w:sz w:val="36"/>
          <w:lang w:val="ru-RU"/>
        </w:rPr>
        <w:t>Управления обществе</w:t>
      </w:r>
      <w:r w:rsidR="00046898">
        <w:rPr>
          <w:rFonts w:ascii="Times New Roman" w:hAnsi="Times New Roman" w:cs="Times New Roman"/>
          <w:sz w:val="36"/>
          <w:lang w:val="ru-RU"/>
        </w:rPr>
        <w:t>нного здоровья г. Алматы на 2022-2024</w:t>
      </w:r>
      <w:r w:rsidRPr="00046898">
        <w:rPr>
          <w:rFonts w:ascii="Times New Roman" w:hAnsi="Times New Roman" w:cs="Times New Roman"/>
          <w:sz w:val="36"/>
          <w:lang w:val="ru-RU"/>
        </w:rPr>
        <w:t xml:space="preserve"> годы</w:t>
      </w:r>
    </w:p>
    <w:p w:rsidR="003D0D3D" w:rsidRPr="003D0D3D" w:rsidRDefault="003D0D3D" w:rsidP="003D0D3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0D3D" w:rsidRDefault="003D0D3D" w:rsidP="003D0D3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6495" w:rsidRDefault="00706495" w:rsidP="003D0D3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6495" w:rsidRDefault="00706495" w:rsidP="003D0D3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6495" w:rsidRDefault="00706495" w:rsidP="003D0D3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6495" w:rsidRPr="003D0D3D" w:rsidRDefault="00706495" w:rsidP="003D0D3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0D3D" w:rsidRDefault="003D0D3D" w:rsidP="003D0D3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6898" w:rsidRDefault="00046898" w:rsidP="003D0D3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6898" w:rsidRPr="003D0D3D" w:rsidRDefault="00046898" w:rsidP="003D0D3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0D3D" w:rsidRDefault="003D0D3D" w:rsidP="003D0D3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B4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Раздел 1. Миссия и видение</w:t>
      </w:r>
    </w:p>
    <w:p w:rsidR="003D0D3D" w:rsidRPr="00706495" w:rsidRDefault="003D0D3D" w:rsidP="000F7707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Миссия</w:t>
      </w:r>
      <w:r w:rsidRPr="00706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Охрана и улучшение здоровья прикрепленного населения путем оказания высококачественной первичной медико-санитарной помощи посредством современных диагностических, лечебно-профилактических и медико-социальных технологий на основе эффективной разработки и реализации региональной политики, осуществления </w:t>
      </w:r>
      <w:proofErr w:type="spellStart"/>
      <w:r w:rsidRPr="00706495">
        <w:rPr>
          <w:rFonts w:ascii="Times New Roman" w:eastAsia="Times New Roman" w:hAnsi="Times New Roman" w:cs="Times New Roman"/>
          <w:color w:val="000000"/>
          <w:sz w:val="28"/>
          <w:szCs w:val="28"/>
        </w:rPr>
        <w:t>межсекторальной</w:t>
      </w:r>
      <w:proofErr w:type="spellEnd"/>
      <w:r w:rsidRPr="00706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координации и совершенствования качества услуг в области здравоохранения.</w:t>
      </w:r>
    </w:p>
    <w:p w:rsidR="003D0D3D" w:rsidRDefault="00046898" w:rsidP="00046898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C7F4B">
        <w:rPr>
          <w:rFonts w:ascii="Times New Roman" w:eastAsia="Times New Roman" w:hAnsi="Times New Roman" w:cs="Times New Roman"/>
          <w:color w:val="000000"/>
          <w:sz w:val="28"/>
          <w:szCs w:val="28"/>
        </w:rPr>
        <w:t>оздать</w:t>
      </w:r>
      <w:proofErr w:type="gramEnd"/>
      <w:r w:rsidR="003D0D3D" w:rsidRPr="004C7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</w:t>
      </w:r>
      <w:r w:rsidR="003D0D3D"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фективно действующую и соответствующую потребностям населения доступную, рентабельную систему охраны здоровья, обеспечить стабильное санитарно-гигиеническое и эпидемиологическое благополучие, повысить солидарную ответственность пациентов за укрепление своего здоровья.</w:t>
      </w:r>
    </w:p>
    <w:p w:rsidR="003D0D3D" w:rsidRPr="004C7F4B" w:rsidRDefault="003D0D3D" w:rsidP="003D0D3D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Ценности и этические принципы</w:t>
      </w:r>
    </w:p>
    <w:p w:rsidR="003D0D3D" w:rsidRDefault="003D0D3D" w:rsidP="0004689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Компетентность медицинских работников – наличие знаний и опыта, необходимых для эффективной медицинской деятельности, оказания медицинской помощи. Коммуникативная компетентность – владение межличностным и профессиональным взаимодействиемс окружающими для успешного функционирования в профессиональной сфере.</w:t>
      </w:r>
    </w:p>
    <w:p w:rsidR="003D0D3D" w:rsidRDefault="003D0D3D" w:rsidP="0004689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и обязанность медицинских работников отвечать за свои действия, поступки, быть ответственными за них.</w:t>
      </w:r>
    </w:p>
    <w:p w:rsidR="003D0D3D" w:rsidRDefault="003D0D3D" w:rsidP="0004689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Пациентоориентированность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основной принцип организации процесса оказания медицинской помощи – направленность на потребителя и удовлетворенность пациента.</w:t>
      </w:r>
    </w:p>
    <w:p w:rsidR="003D0D3D" w:rsidRDefault="003D0D3D" w:rsidP="0004689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Коллегиальность – принцип управления, при котором принятие решений по выполнению поставленных задач, устранению проблем, по организации работы и другим вопросам осуществляется совещательно с профессиональным взаимоуважением, взаимопониманием и с требовательностью к практической работе врачей ради интересов больного.</w:t>
      </w:r>
    </w:p>
    <w:p w:rsidR="003D0D3D" w:rsidRPr="004C7F4B" w:rsidRDefault="003D0D3D" w:rsidP="0004689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Конкурентоспособность – способность медицинской организации отвечать всем запросам пациентов по сравнению с другими аналогичными медицинскими организациями.</w:t>
      </w:r>
    </w:p>
    <w:p w:rsidR="003D0D3D" w:rsidRPr="003D0D3D" w:rsidRDefault="003D0D3D" w:rsidP="003D0D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B4C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46898" w:rsidRDefault="00046898" w:rsidP="003D0D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D0D3D" w:rsidRDefault="003D0D3D" w:rsidP="003D0D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590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Раздел 2. Анализ текущей ситуации и управление рисками</w:t>
      </w:r>
    </w:p>
    <w:p w:rsidR="003D0D3D" w:rsidRPr="003D0D3D" w:rsidRDefault="003D0D3D" w:rsidP="003D0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5B4C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3D0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2.1 Анализ факторов внешней среды</w:t>
      </w:r>
    </w:p>
    <w:p w:rsidR="003D0D3D" w:rsidRPr="003D0D3D" w:rsidRDefault="003D0D3D" w:rsidP="003D0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D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Был проведен анализ внешней среды для контроля внешних по отношению к Предприятию факторов, выяснены внешние угрозы и возможности,</w:t>
      </w:r>
      <w:r w:rsidR="000468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 которыми может столкнуться КГ</w:t>
      </w:r>
      <w:r w:rsidRPr="003D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 на ПХВ «Городская поликлиника №24» (далее – Предприятие).</w:t>
      </w:r>
    </w:p>
    <w:p w:rsidR="003D0D3D" w:rsidRDefault="003D0D3D" w:rsidP="003D0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D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Выделены </w:t>
      </w:r>
      <w:r w:rsidR="00F64E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следующие факторы:</w:t>
      </w:r>
    </w:p>
    <w:p w:rsidR="00F64EA9" w:rsidRDefault="00F64EA9" w:rsidP="0004689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Экономические факторы. Увеличение финансирования здравоохранения города может </w:t>
      </w:r>
      <w:r w:rsidR="000A183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для поликлиники новые возможности, уменьшение – угрозу. В этой связи, экономические факторы должны постоянно диагностироваться и оцениваться.</w:t>
      </w:r>
    </w:p>
    <w:p w:rsidR="000A1836" w:rsidRDefault="000A1836" w:rsidP="0004689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Политические факторы. Активное участие частного бизнеса в политическом процессе является указанием на важность государственной политики для организации, следовательно, Предприятие должно следить за нормативными документами местных органов, уполномоченного органа в сфере здравоохранения.</w:t>
      </w:r>
    </w:p>
    <w:p w:rsidR="000A1836" w:rsidRDefault="000A1836" w:rsidP="0004689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Рыночные факторы. Рыночная среда представляет собой постоянную опасность для предприятия. К факторам, воздействующим на успехи и провалы организации, относятся распределение государственного заказа, уровень конкуренции в районе обслуживания населения, изменяющиеся демографические условия, легкость проникновения на рынок частных предприятий.</w:t>
      </w:r>
    </w:p>
    <w:p w:rsidR="000A1836" w:rsidRDefault="000A1836" w:rsidP="0004689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Технологические факторы. Анализ технического развития Предприятия влияет на технологию производства, применение информационных систем в предоставлении медицинских услуг или успехи в технологии средств связи.</w:t>
      </w:r>
    </w:p>
    <w:p w:rsidR="000A1836" w:rsidRDefault="000A1836" w:rsidP="0004689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Факторы конкуренции. Была проведена оценка конкурентов, изучение сильных и слабых сторон конкурентов.</w:t>
      </w:r>
    </w:p>
    <w:p w:rsidR="000A1836" w:rsidRDefault="000A1836" w:rsidP="0004689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Факторы социального поведения. Эти факторы включают меняющиеся отношения, ожидания и нравы пациентов, отношение их ответственности к своему здоровью.</w:t>
      </w:r>
    </w:p>
    <w:p w:rsidR="000A1836" w:rsidRDefault="000A1836" w:rsidP="00046898">
      <w:pPr>
        <w:pStyle w:val="a3"/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анализ внешней среды позволил получить полное представление не только о существенных внешних проблемах, но и о внутренних потенциальных возможностях Предприятия.</w:t>
      </w:r>
    </w:p>
    <w:p w:rsidR="00440D38" w:rsidRDefault="00440D38" w:rsidP="00440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24D34" w:rsidRDefault="00724D34" w:rsidP="00440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7707" w:rsidRDefault="000F7707" w:rsidP="00440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7707" w:rsidRDefault="000F7707" w:rsidP="00440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40D38" w:rsidRDefault="00440D38" w:rsidP="00440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2.2 Анализ факторов непосредственного окружения</w:t>
      </w:r>
    </w:p>
    <w:p w:rsidR="00440D38" w:rsidRDefault="00440D38" w:rsidP="00440D3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Анализ непосредственного окружения показывает, что Поликлиника расположена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Турксибском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районе города Алматы, в котором имеются следующие государственные поликлиники: ГП №9, 13, 19, 20, 24, 28, 32,</w:t>
      </w:r>
      <w:r w:rsidR="000F77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АЖДБ которые обслуживают 235357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населения. Для обслуживания населения плановая мощность этих организаций должна составлять 2043 в смену, тогда как их плановая мощность составляет 2475 в смену, что на 432 посещений в смену больше требуемой.</w:t>
      </w:r>
    </w:p>
    <w:p w:rsidR="009F2DC2" w:rsidRDefault="00440D38" w:rsidP="00440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Обращает на себя внимание отсутствие учета количества прикрепляемого населения к поликлинике от их мощности. Так, ГП №20 с плановой мощностью 200 посещений в смену, имеет население </w:t>
      </w:r>
      <w:r w:rsidR="000F77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37282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В связи с этим, фактическая мощность превышает плановую в 2 раза, составляет 425 в смену, вместо 200. Дефицит мощности в посещениях составляет 225, что естественно отражается на качестве и своевременности оказания </w:t>
      </w:r>
      <w:r w:rsidR="00FA6E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медицинской помощи. Тогда как поликлиники №24, 28 имеют избыток мощности в посещениях из-за несоответствия количества прикрепленного населения к плановой мощности поликлиник. Это влечет за собой увеличение расходов на содержание зданий и</w:t>
      </w:r>
      <w:r w:rsidR="004440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как следствие, дефицит с</w:t>
      </w:r>
      <w:r w:rsidR="00FA6E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редств.</w:t>
      </w:r>
    </w:p>
    <w:p w:rsidR="00E21398" w:rsidRDefault="009F2DC2" w:rsidP="00440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Этот фактор является внешним и не зависит от действий организаций ПМСП.</w:t>
      </w:r>
      <w:r w:rsidR="004440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Он оказывает существенное влияние на развитие сферы </w:t>
      </w:r>
      <w:r w:rsidR="00E213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деятельности медицинских организаций и требует правого урегулирования, как в планировании строительства организаций ПМСП, так и прикрепления населения к организациям в зависимости от их мощности.</w:t>
      </w:r>
    </w:p>
    <w:p w:rsidR="00E21398" w:rsidRDefault="00E21398" w:rsidP="00440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Государственный сектор здравоохранения практически всегда испытывает давление государственных органов по улучшению результатов и эффективности деятельности. В связи с этим, перед поликлиникой встает пять проблем сохранения своей конкурентоспособности в среде окружения:</w:t>
      </w:r>
    </w:p>
    <w:p w:rsidR="00440D38" w:rsidRDefault="00E21398" w:rsidP="000F770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эффективности государственных услуг;</w:t>
      </w:r>
    </w:p>
    <w:p w:rsidR="00E21398" w:rsidRDefault="00E21398" w:rsidP="000F770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отношения с обслуживаемым населением для удовлетворения его все возрастающие потребности;</w:t>
      </w:r>
    </w:p>
    <w:p w:rsidR="00E21398" w:rsidRDefault="00E21398" w:rsidP="000F770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пересмотр структуры и деятельности поликлиники для повышения качества предоставляемых услуг;</w:t>
      </w:r>
    </w:p>
    <w:p w:rsidR="00E21398" w:rsidRDefault="00E21398" w:rsidP="000F770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пересмотр способов использования данных при разработке политики и управления деятельности поликлиники;</w:t>
      </w:r>
    </w:p>
    <w:p w:rsidR="00E21398" w:rsidRDefault="00E21398" w:rsidP="000F770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новых путей успешного конкурирования с ближайшими государственными и частными медицинскими организациями.</w:t>
      </w:r>
    </w:p>
    <w:p w:rsidR="00A73836" w:rsidRDefault="00A73836" w:rsidP="00A7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73836" w:rsidRDefault="00A73836" w:rsidP="00A7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2.3 Анализ факторов внутренней среды</w:t>
      </w:r>
    </w:p>
    <w:p w:rsidR="00A73836" w:rsidRPr="003C108D" w:rsidRDefault="00A73836" w:rsidP="003C108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Times New Roman"/>
          <w:b/>
          <w:color w:val="000000"/>
          <w:szCs w:val="28"/>
          <w:lang w:val="ru-RU"/>
        </w:rPr>
        <w:lastRenderedPageBreak/>
        <w:tab/>
      </w:r>
      <w:r w:rsidR="000F7707" w:rsidRPr="003C10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2022</w:t>
      </w:r>
      <w:r w:rsidRPr="003C10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году</w:t>
      </w:r>
      <w:r w:rsidR="000F7707" w:rsidRPr="003C10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</w:t>
      </w:r>
      <w:r w:rsidRPr="003C10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реализа</w:t>
      </w:r>
      <w:r w:rsidR="000F7707" w:rsidRPr="003C10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ция</w:t>
      </w:r>
      <w:r w:rsidRPr="003C10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C108D" w:rsidRPr="003C108D">
        <w:rPr>
          <w:rFonts w:ascii="Times New Roman" w:hAnsi="Times New Roman" w:cs="Times New Roman"/>
          <w:sz w:val="28"/>
          <w:szCs w:val="28"/>
          <w:lang w:val="ru-RU"/>
        </w:rPr>
        <w:t>Национальный проект "Качественное и доступное здравоохранение для каждого гражданина "Здоровая нация"</w:t>
      </w:r>
      <w:r w:rsidR="000F77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2020-2025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годы. За этот период в Предприятии модернизирована первичная медико-санитарная помощь с внедрением семейной практики.</w:t>
      </w:r>
    </w:p>
    <w:p w:rsidR="001B16B2" w:rsidRDefault="000F7707" w:rsidP="003C10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Поликлиника на начало 2022</w:t>
      </w:r>
      <w:r w:rsidR="001B16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г. обслуживает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34481</w:t>
      </w:r>
      <w:r w:rsidR="001B16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смешанн</w:t>
      </w:r>
      <w:r w:rsidR="003C10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 населения: из них детей 8822, взрослого населения 25959</w:t>
      </w:r>
      <w:r w:rsidR="001B16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Это предусматривает наблюдение за здоровьем человека в течение всей его жизни с у</w:t>
      </w:r>
      <w:r w:rsidR="00BB00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четом индивидуальных особенностей организма и акцентом на профилактику.</w:t>
      </w:r>
      <w:r w:rsidR="001C55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 приеме населения медицинскими работниками разъясняются принципы социального медицинского страхования, особенности программы внедрение системы социального медицинского страхования, солидарная ответственность каждого гражданина за здоровья. Проводится активная работа по подготовке медицинских к</w:t>
      </w:r>
      <w:r w:rsidR="003C10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адров. Врачи поликлиники за 2021</w:t>
      </w:r>
      <w:r w:rsidR="001C55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год прошли по </w:t>
      </w:r>
      <w:r w:rsidR="001C55A5" w:rsidRPr="00730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86</w:t>
      </w:r>
      <w:r w:rsidR="001C55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программам подготовки и переподготовки кадров, медицинские сестры по </w:t>
      </w:r>
      <w:r w:rsidR="001C55A5" w:rsidRPr="00730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81</w:t>
      </w:r>
      <w:r w:rsidR="001C55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программе.</w:t>
      </w:r>
    </w:p>
    <w:p w:rsidR="000A63B9" w:rsidRDefault="001C55A5" w:rsidP="00A7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Укомплектованность поликлиники кадрами составляет </w:t>
      </w:r>
      <w:r w:rsidR="003C10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92,4%</w:t>
      </w:r>
      <w:r w:rsidRPr="00730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Как результат постоянной работы по привлечению кадров</w:t>
      </w:r>
      <w:r w:rsidRPr="002B127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3C108D" w:rsidRPr="002B127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 w:rsidRPr="002B127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составляют молодые специальности, с которыми регулярно ведется плановая работа наставничества по вопросам оказания качественной медицинской помощи в рамках гарантированного объема бесплатной медицинской помощи, взаимодей</w:t>
      </w:r>
      <w:r w:rsidR="000A63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ствия между службами и другими медицинскими организациями. Доля медицинских работников, имеющих квалификационные категории составляет </w:t>
      </w:r>
      <w:r w:rsidR="000A63B9" w:rsidRPr="00730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43%.</w:t>
      </w:r>
    </w:p>
    <w:p w:rsidR="000A63B9" w:rsidRDefault="000A63B9" w:rsidP="00A7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За период реализации Государственной программы отмечена значительная положительная динамика основных индикаторов здоровья прикрепленного населения:</w:t>
      </w:r>
    </w:p>
    <w:p w:rsidR="000A63B9" w:rsidRDefault="002B369C" w:rsidP="00A7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- уровень рождаемости населения </w:t>
      </w:r>
      <w:r w:rsidR="00730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3C10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2021</w:t>
      </w:r>
      <w:r w:rsidR="00730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="00730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оду составил </w:t>
      </w:r>
      <w:r w:rsidR="003C108D" w:rsidRPr="003C108D">
        <w:rPr>
          <w:rFonts w:ascii="Times New Roman" w:hAnsi="Times New Roman"/>
          <w:sz w:val="28"/>
          <w:szCs w:val="28"/>
          <w:lang w:val="ru-RU"/>
        </w:rPr>
        <w:t>15</w:t>
      </w:r>
      <w:r w:rsidR="003C108D" w:rsidRPr="003C108D">
        <w:rPr>
          <w:rFonts w:ascii="Arial" w:hAnsi="Arial"/>
          <w:color w:val="4D5156"/>
          <w:sz w:val="28"/>
          <w:szCs w:val="28"/>
          <w:u w:color="4D5156"/>
          <w:shd w:val="clear" w:color="auto" w:fill="FFFFFF"/>
          <w:lang w:val="ru-RU"/>
        </w:rPr>
        <w:t>‰</w:t>
      </w:r>
      <w:r w:rsidR="003C10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по сравнению с 2020</w:t>
      </w:r>
      <w:r w:rsidR="00730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годом – </w:t>
      </w:r>
      <w:r w:rsidR="003C108D" w:rsidRPr="003C108D">
        <w:rPr>
          <w:rFonts w:ascii="Times New Roman" w:hAnsi="Times New Roman"/>
          <w:sz w:val="28"/>
          <w:szCs w:val="28"/>
          <w:lang w:val="ru-RU"/>
        </w:rPr>
        <w:t>12,1</w:t>
      </w:r>
      <w:r w:rsidR="003C108D" w:rsidRPr="003C108D">
        <w:rPr>
          <w:rFonts w:ascii="Arial" w:hAnsi="Arial"/>
          <w:color w:val="4D5156"/>
          <w:sz w:val="28"/>
          <w:szCs w:val="28"/>
          <w:u w:color="4D5156"/>
          <w:shd w:val="clear" w:color="auto" w:fill="FFFFFF"/>
          <w:lang w:val="ru-RU"/>
        </w:rPr>
        <w:t>‰</w:t>
      </w:r>
      <w:r w:rsidR="00730717" w:rsidRPr="003C10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A63B9" w:rsidRDefault="000A63B9" w:rsidP="00A7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- </w:t>
      </w:r>
      <w:r w:rsidR="002B36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показатель смертности</w:t>
      </w:r>
      <w:r w:rsidR="00730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="003C10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2021</w:t>
      </w:r>
      <w:r w:rsidR="00730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36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="00730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оду – 8</w:t>
      </w:r>
      <w:r w:rsidR="002B36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,7</w:t>
      </w:r>
      <w:r w:rsidR="003C10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данный показатель в 2020</w:t>
      </w:r>
      <w:r w:rsidR="00730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году составлял </w:t>
      </w:r>
      <w:r w:rsidR="002B36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6,</w:t>
      </w:r>
      <w:r w:rsidR="003C10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A63B9" w:rsidRDefault="000A63B9" w:rsidP="00A7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- </w:t>
      </w:r>
      <w:r w:rsidR="002B36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естественного прироста населения </w:t>
      </w:r>
      <w:r w:rsidR="00730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="004006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2021</w:t>
      </w:r>
      <w:r w:rsidR="00730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36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="00730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 – 6</w:t>
      </w:r>
      <w:r w:rsidR="002B36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,5</w:t>
      </w:r>
      <w:r w:rsidR="00730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по сравнению с </w:t>
      </w:r>
      <w:r w:rsidR="004006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2020</w:t>
      </w:r>
      <w:r w:rsidR="00730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годом – 7</w:t>
      </w:r>
      <w:r w:rsidR="002B36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,5</w:t>
      </w:r>
      <w:r w:rsidR="00730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C55A5" w:rsidRDefault="000A63B9" w:rsidP="00A7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1C55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Первичный выход на инвалидность работающего населения, как индикатор эффективности работы и взаимодействия поликлиники и медико-социальной экспертной комиссией, удерж</w:t>
      </w:r>
      <w:r w:rsidR="008973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ивается на стабильном уровне – </w:t>
      </w:r>
      <w:r w:rsidR="004006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27</w:t>
      </w:r>
      <w:r w:rsidR="00374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10 тыс. работающего населения</w:t>
      </w:r>
      <w:r w:rsidR="008973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74DB4" w:rsidRDefault="00374DB4" w:rsidP="00A7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Остается актуальной проблема охраны репродуктивного здоровья. Сохраняются низкими индексы здоровья женщин и детей, что влияет на динамику материнской и младенческой смертности.</w:t>
      </w:r>
    </w:p>
    <w:p w:rsidR="00374DB4" w:rsidRPr="00897316" w:rsidRDefault="00374DB4" w:rsidP="00A7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Благодаря комплексу предпринимаемых</w:t>
      </w:r>
      <w:r w:rsidR="004634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мер по Плану мероприятий поликлиники по снижению материнской смертности, регулярному контролю за оздоровлением женщин фертильного возраст</w:t>
      </w:r>
      <w:r w:rsidR="004006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а, материнская смертность в 2021</w:t>
      </w:r>
      <w:r w:rsidR="004634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года составила </w:t>
      </w:r>
      <w:r w:rsidR="004634B0" w:rsidRPr="008973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="004634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 городском показателе 100 тыс. живорожденных- </w:t>
      </w:r>
      <w:r w:rsidR="004006E9">
        <w:rPr>
          <w:rFonts w:ascii="Times New Roman" w:eastAsia="Times New Roman" w:hAnsi="Times New Roman" w:cs="Times New Roman"/>
          <w:sz w:val="28"/>
          <w:szCs w:val="28"/>
          <w:lang w:val="ru-RU"/>
        </w:rPr>
        <w:t>53,79 (26женщин)</w:t>
      </w:r>
    </w:p>
    <w:p w:rsidR="004634B0" w:rsidRDefault="004634B0" w:rsidP="00A7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Младенческая смертность</w:t>
      </w:r>
      <w:r w:rsidR="004006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2021году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предотвратимая на уровне ПМСП, п</w:t>
      </w:r>
      <w:r w:rsidR="004006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оказатель составил 1,9 </w:t>
      </w:r>
      <w:r w:rsidR="008973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средне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городском уровне </w:t>
      </w:r>
      <w:r w:rsidR="004006E9">
        <w:rPr>
          <w:rFonts w:ascii="Times New Roman" w:eastAsia="Times New Roman" w:hAnsi="Times New Roman" w:cs="Times New Roman"/>
          <w:sz w:val="28"/>
          <w:szCs w:val="28"/>
          <w:lang w:val="ru-RU"/>
        </w:rPr>
        <w:t>10,31</w:t>
      </w:r>
      <w:r w:rsidRPr="0089731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634B0" w:rsidRDefault="004634B0" w:rsidP="00A7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lastRenderedPageBreak/>
        <w:t xml:space="preserve">         </w:t>
      </w:r>
      <w:r w:rsidRPr="004634B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беспечена стабилизация ситуации по большинству социально значимых заболеваний. Выявляемость, а значит и заболеваемость, растут за счет массовых профилактических осмотров населения. Первичная заболеваемость болезнями системы кровообращения возросла с </w:t>
      </w:r>
      <w:r w:rsidR="00DE7868" w:rsidRPr="00897316">
        <w:rPr>
          <w:rFonts w:ascii="Times New Roman" w:eastAsia="Times New Roman" w:hAnsi="Times New Roman" w:cs="Times New Roman"/>
          <w:sz w:val="28"/>
          <w:szCs w:val="28"/>
          <w:lang w:val="ru-RU"/>
        </w:rPr>
        <w:t>1015</w:t>
      </w:r>
      <w:r w:rsidR="004006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1000 нас. в 2020</w:t>
      </w:r>
      <w:r w:rsidR="00DE7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году до </w:t>
      </w:r>
      <w:r w:rsidR="00DE7868" w:rsidRPr="00897316">
        <w:rPr>
          <w:rFonts w:ascii="Times New Roman" w:eastAsia="Times New Roman" w:hAnsi="Times New Roman" w:cs="Times New Roman"/>
          <w:sz w:val="28"/>
          <w:szCs w:val="28"/>
          <w:lang w:val="ru-RU"/>
        </w:rPr>
        <w:t>1901</w:t>
      </w:r>
      <w:r w:rsidR="004006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2021</w:t>
      </w:r>
      <w:r w:rsidR="00DE7868">
        <w:rPr>
          <w:rFonts w:ascii="Times New Roman" w:eastAsia="Times New Roman" w:hAnsi="Times New Roman" w:cs="Times New Roman"/>
          <w:sz w:val="28"/>
          <w:szCs w:val="28"/>
          <w:lang w:val="ru-RU"/>
        </w:rPr>
        <w:t>году (</w:t>
      </w:r>
      <w:r w:rsidR="000F530D">
        <w:rPr>
          <w:rFonts w:ascii="Times New Roman" w:eastAsia="Times New Roman" w:hAnsi="Times New Roman" w:cs="Times New Roman"/>
          <w:sz w:val="28"/>
          <w:szCs w:val="28"/>
          <w:lang w:val="ru-RU"/>
        </w:rPr>
        <w:t>3180</w:t>
      </w:r>
      <w:r w:rsidR="00DE7868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0F530D">
        <w:rPr>
          <w:rFonts w:ascii="Times New Roman" w:eastAsia="Times New Roman" w:hAnsi="Times New Roman" w:cs="Times New Roman"/>
          <w:sz w:val="28"/>
          <w:szCs w:val="28"/>
          <w:lang w:val="ru-RU"/>
        </w:rPr>
        <w:t>. Охват диспансерным наблюдением кардиологических больных составил 100%. Показателем эффективности проводимой работы по раннему выявлению заболеваний, диспансеризации и лечению больных является снижение смертности от болезней системы кровообращения в поликлинике</w:t>
      </w:r>
      <w:r w:rsidR="008273B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F53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сравнению с городскими показателям</w:t>
      </w:r>
      <w:r w:rsidR="008273B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4006E9">
        <w:rPr>
          <w:rFonts w:ascii="Times New Roman" w:eastAsia="Times New Roman" w:hAnsi="Times New Roman" w:cs="Times New Roman"/>
          <w:sz w:val="28"/>
          <w:szCs w:val="28"/>
          <w:lang w:val="ru-RU"/>
        </w:rPr>
        <w:t>. В 2021</w:t>
      </w:r>
      <w:r w:rsidR="000F530D">
        <w:rPr>
          <w:rFonts w:ascii="Times New Roman" w:eastAsia="Times New Roman" w:hAnsi="Times New Roman" w:cs="Times New Roman"/>
          <w:sz w:val="28"/>
          <w:szCs w:val="28"/>
          <w:lang w:val="ru-RU"/>
        </w:rPr>
        <w:t>году показатель составил 174,0 при городском 197,47.</w:t>
      </w:r>
    </w:p>
    <w:p w:rsidR="000F530D" w:rsidRPr="009B543C" w:rsidRDefault="000F530D" w:rsidP="00A7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54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="008273B2">
        <w:rPr>
          <w:rFonts w:ascii="Times New Roman" w:eastAsia="Times New Roman" w:hAnsi="Times New Roman" w:cs="Times New Roman"/>
          <w:sz w:val="28"/>
          <w:szCs w:val="28"/>
          <w:lang w:val="ru-RU"/>
        </w:rPr>
        <w:t>Заболеваемость туберкулезо</w:t>
      </w:r>
      <w:r w:rsidRPr="009B543C">
        <w:rPr>
          <w:rFonts w:ascii="Times New Roman" w:eastAsia="Times New Roman" w:hAnsi="Times New Roman" w:cs="Times New Roman"/>
          <w:sz w:val="28"/>
          <w:szCs w:val="28"/>
          <w:lang w:val="ru-RU"/>
        </w:rPr>
        <w:t>м снижена в 1,5 раза</w:t>
      </w:r>
      <w:r w:rsidR="004006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(с 49,4 до 34,6</w:t>
      </w:r>
      <w:r w:rsidR="008273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100 тыс. населения</w:t>
      </w:r>
      <w:r w:rsidRPr="009B54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8273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сравнению с </w:t>
      </w:r>
      <w:r w:rsidRPr="009B543C">
        <w:rPr>
          <w:rFonts w:ascii="Times New Roman" w:eastAsia="Times New Roman" w:hAnsi="Times New Roman" w:cs="Times New Roman"/>
          <w:sz w:val="28"/>
          <w:szCs w:val="28"/>
          <w:lang w:val="ru-RU"/>
        </w:rPr>
        <w:t>город</w:t>
      </w:r>
      <w:r w:rsidR="008273B2">
        <w:rPr>
          <w:rFonts w:ascii="Times New Roman" w:eastAsia="Times New Roman" w:hAnsi="Times New Roman" w:cs="Times New Roman"/>
          <w:sz w:val="28"/>
          <w:szCs w:val="28"/>
          <w:lang w:val="ru-RU"/>
        </w:rPr>
        <w:t>ским показателем</w:t>
      </w:r>
      <w:r w:rsidR="007633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23,2</w:t>
      </w:r>
      <w:r w:rsidRPr="009B543C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="008273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543C">
        <w:rPr>
          <w:rFonts w:ascii="Times New Roman" w:eastAsia="Times New Roman" w:hAnsi="Times New Roman" w:cs="Times New Roman"/>
          <w:sz w:val="28"/>
          <w:szCs w:val="28"/>
          <w:lang w:val="ru-RU"/>
        </w:rPr>
        <w:t>смертность о</w:t>
      </w:r>
      <w:r w:rsidR="007633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туберкулеза составила в 2021 </w:t>
      </w:r>
      <w:r w:rsidRPr="009B54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году </w:t>
      </w:r>
      <w:r w:rsidR="00763399">
        <w:rPr>
          <w:rFonts w:ascii="Times New Roman" w:eastAsia="Times New Roman" w:hAnsi="Times New Roman" w:cs="Times New Roman"/>
          <w:sz w:val="28"/>
          <w:szCs w:val="28"/>
          <w:lang w:val="ru-RU"/>
        </w:rPr>
        <w:t>2,9</w:t>
      </w:r>
      <w:r w:rsidR="000B7B67" w:rsidRPr="009B54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100 тыс. нас</w:t>
      </w:r>
      <w:r w:rsidR="008273B2">
        <w:rPr>
          <w:rFonts w:ascii="Times New Roman" w:eastAsia="Times New Roman" w:hAnsi="Times New Roman" w:cs="Times New Roman"/>
          <w:sz w:val="28"/>
          <w:szCs w:val="28"/>
          <w:lang w:val="ru-RU"/>
        </w:rPr>
        <w:t>еления,</w:t>
      </w:r>
      <w:r w:rsidR="007633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2020 году – 2,9</w:t>
      </w:r>
      <w:r w:rsidR="000B7B67" w:rsidRPr="009B54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 случай в 2</w:t>
      </w:r>
      <w:r w:rsidR="00763399">
        <w:rPr>
          <w:rFonts w:ascii="Times New Roman" w:eastAsia="Times New Roman" w:hAnsi="Times New Roman" w:cs="Times New Roman"/>
          <w:sz w:val="28"/>
          <w:szCs w:val="28"/>
          <w:lang w:val="ru-RU"/>
        </w:rPr>
        <w:t>021 г и 1 случай в 2020</w:t>
      </w:r>
      <w:r w:rsidR="000B7B67" w:rsidRPr="009B54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году) (город</w:t>
      </w:r>
      <w:r w:rsidR="008273B2">
        <w:rPr>
          <w:rFonts w:ascii="Times New Roman" w:eastAsia="Times New Roman" w:hAnsi="Times New Roman" w:cs="Times New Roman"/>
          <w:sz w:val="28"/>
          <w:szCs w:val="28"/>
          <w:lang w:val="ru-RU"/>
        </w:rPr>
        <w:t>ской показатель составил</w:t>
      </w:r>
      <w:r w:rsidR="007633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1,3</w:t>
      </w:r>
      <w:r w:rsidR="000B7B67" w:rsidRPr="009B543C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0B7B67" w:rsidRDefault="000B7B67" w:rsidP="00A7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7B67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        </w:t>
      </w:r>
      <w:r w:rsidRPr="006A61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динамике за последние 2 года </w:t>
      </w:r>
      <w:r w:rsidR="006A6167" w:rsidRPr="006A6167">
        <w:rPr>
          <w:rFonts w:ascii="Times New Roman" w:eastAsia="Times New Roman" w:hAnsi="Times New Roman" w:cs="Times New Roman"/>
          <w:sz w:val="28"/>
          <w:szCs w:val="28"/>
          <w:lang w:val="ru-RU"/>
        </w:rPr>
        <w:t>наблюдается снижение</w:t>
      </w:r>
      <w:r w:rsidRPr="006A61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выявления злокачественных</w:t>
      </w:r>
      <w:r w:rsidR="007633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новообразований, с 231,0 в 2021 году до 210,6 в 2020</w:t>
      </w:r>
      <w:r w:rsidRPr="006A61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году.</w:t>
      </w:r>
      <w:r w:rsidRPr="000B7B67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0B7B67">
        <w:rPr>
          <w:rFonts w:ascii="Times New Roman" w:eastAsia="Times New Roman" w:hAnsi="Times New Roman" w:cs="Times New Roman"/>
          <w:sz w:val="28"/>
          <w:szCs w:val="28"/>
          <w:lang w:val="ru-RU"/>
        </w:rPr>
        <w:t>Мероприятия, направленные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0B7B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ранее выявление онкологических заболеваний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скрининговые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273B2">
        <w:rPr>
          <w:rFonts w:ascii="Times New Roman" w:eastAsia="Times New Roman" w:hAnsi="Times New Roman" w:cs="Times New Roman"/>
          <w:sz w:val="28"/>
          <w:szCs w:val="28"/>
          <w:lang w:val="ru-RU"/>
        </w:rPr>
        <w:t>профилактические осмотры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), обеспечение современными химиопрепаратами, укреп</w:t>
      </w:r>
      <w:r w:rsidR="009B543C">
        <w:rPr>
          <w:rFonts w:ascii="Times New Roman" w:eastAsia="Times New Roman" w:hAnsi="Times New Roman" w:cs="Times New Roman"/>
          <w:sz w:val="28"/>
          <w:szCs w:val="28"/>
          <w:lang w:val="ru-RU"/>
        </w:rPr>
        <w:t>ление материально-технической базы медицинских организаций позволили увеличить удельный вес больных, живущих 5 и более лет после установления диагноза.</w:t>
      </w:r>
    </w:p>
    <w:p w:rsidR="009B543C" w:rsidRDefault="009B543C" w:rsidP="00A7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За счет комплекса мер по профилактике травматизма и совершенствования лечения больных обеспечен показатель заболеваемости и смертности горожан от несчастных случаев, травм и отравлений ниже городского уровня </w:t>
      </w:r>
      <w:r w:rsidR="00763399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8273B2">
        <w:rPr>
          <w:rFonts w:ascii="Times New Roman" w:eastAsia="Times New Roman" w:hAnsi="Times New Roman" w:cs="Times New Roman"/>
          <w:sz w:val="28"/>
          <w:szCs w:val="28"/>
          <w:lang w:val="ru-RU"/>
        </w:rPr>
        <w:t>,7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100 тыс. нас. при городском </w:t>
      </w:r>
      <w:r w:rsidR="0076339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63399">
        <w:rPr>
          <w:rFonts w:ascii="Times New Roman" w:eastAsia="Times New Roman" w:hAnsi="Times New Roman" w:cs="Times New Roman"/>
          <w:sz w:val="28"/>
          <w:szCs w:val="28"/>
          <w:lang w:val="ru-RU"/>
        </w:rPr>
        <w:t>4,88</w:t>
      </w:r>
      <w:r w:rsidRPr="00724D3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B543C" w:rsidRDefault="009B543C" w:rsidP="00A7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9B5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территории обслуживания стабильная эпидемиологическая ситуация по инфекционной и паразитарной заболеваемости, не регистрировались случаи карантинных и особо опасных инфекций.</w:t>
      </w:r>
      <w:r w:rsidR="00D5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Прослеживается положительная динамика в снижении показателей заболеваемости вирусными гепатитами, сальмонеллезом, коклюшем, </w:t>
      </w:r>
      <w:proofErr w:type="spellStart"/>
      <w:r w:rsidR="00095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эпидпарототом</w:t>
      </w:r>
      <w:proofErr w:type="spellEnd"/>
      <w:r w:rsidR="00095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095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минингококковыми</w:t>
      </w:r>
      <w:proofErr w:type="spellEnd"/>
      <w:r w:rsidR="00095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инфекциями.</w:t>
      </w:r>
      <w:r w:rsidR="007D5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Значительная роль в данном вопросе уделена организации вакцинации и достижении необходимого охвата населения</w:t>
      </w:r>
      <w:r w:rsidR="006B5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профилактическими прививками, который в целом по городу составляет не менее 95%</w:t>
      </w:r>
      <w:r w:rsidR="006D0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6D0AB2" w:rsidRDefault="006D0AB2" w:rsidP="00A7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Проведена большая работа по иммунизации декретированных возрастов среди детского и взрослого населения, что позволило в комплексе с противоэпидемическими мероприятиями снизить заболеваемость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вакциноуправляемым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инфекциям. Достигнут 100% уровень охвата вакцинацией по всем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вакциноуправляемым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инфекциям (коклюш, дифтерия, столбняк, ВГ В).</w:t>
      </w:r>
    </w:p>
    <w:p w:rsidR="00A73836" w:rsidRDefault="00A73836" w:rsidP="00A7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B1277" w:rsidRDefault="002B1277" w:rsidP="00A7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836" w:rsidRDefault="00A73836" w:rsidP="00A7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2.4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SWOT</w:t>
      </w:r>
      <w:r w:rsidRPr="000A6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анализ</w:t>
      </w:r>
    </w:p>
    <w:p w:rsidR="00A73836" w:rsidRDefault="00A73836" w:rsidP="00A73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55"/>
        <w:gridCol w:w="5776"/>
        <w:gridCol w:w="4931"/>
      </w:tblGrid>
      <w:tr w:rsidR="008E7CE9" w:rsidRPr="006D0AB2" w:rsidTr="008E7CE9">
        <w:tc>
          <w:tcPr>
            <w:tcW w:w="3678" w:type="dxa"/>
          </w:tcPr>
          <w:p w:rsidR="00A73836" w:rsidRPr="00A73836" w:rsidRDefault="00A73836" w:rsidP="00A738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38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Направления</w:t>
            </w:r>
          </w:p>
        </w:tc>
        <w:tc>
          <w:tcPr>
            <w:tcW w:w="7938" w:type="dxa"/>
          </w:tcPr>
          <w:p w:rsidR="00A73836" w:rsidRPr="004F7969" w:rsidRDefault="00A73836" w:rsidP="00A738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38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Strengths</w:t>
            </w:r>
            <w:r w:rsidR="004F79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(Сильные стороны)</w:t>
            </w:r>
          </w:p>
        </w:tc>
        <w:tc>
          <w:tcPr>
            <w:tcW w:w="6946" w:type="dxa"/>
          </w:tcPr>
          <w:p w:rsidR="00A73836" w:rsidRPr="004F7969" w:rsidRDefault="00A73836" w:rsidP="00A738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38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Weaknesses</w:t>
            </w:r>
            <w:r w:rsidR="004F79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(Слабые стороны)</w:t>
            </w:r>
          </w:p>
        </w:tc>
      </w:tr>
      <w:tr w:rsidR="008E7CE9" w:rsidRPr="002B1277" w:rsidTr="008E7CE9">
        <w:tc>
          <w:tcPr>
            <w:tcW w:w="3678" w:type="dxa"/>
          </w:tcPr>
          <w:p w:rsidR="00A73836" w:rsidRPr="00A73836" w:rsidRDefault="004F7969" w:rsidP="00A738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Клиенты</w:t>
            </w:r>
          </w:p>
        </w:tc>
        <w:tc>
          <w:tcPr>
            <w:tcW w:w="7938" w:type="dxa"/>
          </w:tcPr>
          <w:p w:rsidR="004F7969" w:rsidRDefault="004F7969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Типовое здание поликлиники, на 500 посещений в смену, 2013 год постройки. Оснащено новым высокопроизводительным современным оборудованием экспертного класса.</w:t>
            </w:r>
          </w:p>
          <w:p w:rsidR="004F7969" w:rsidRDefault="004F7969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Известная и стабильная репутация.</w:t>
            </w:r>
          </w:p>
          <w:p w:rsidR="004F7969" w:rsidRDefault="004F7969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Постоянный спрос среди населения.</w:t>
            </w:r>
          </w:p>
          <w:p w:rsidR="004F7969" w:rsidRDefault="004F7969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Переход на солидарную ответственность на здоровье населения.</w:t>
            </w:r>
          </w:p>
          <w:p w:rsidR="00A73836" w:rsidRDefault="00A73836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A73836" w:rsidRDefault="004F7969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Низкая ответственность пациентов за свое здоровье.</w:t>
            </w:r>
          </w:p>
          <w:p w:rsidR="004F7969" w:rsidRDefault="004F7969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Несвоевременное обращение в поликлинику за медицинской помощью.</w:t>
            </w:r>
          </w:p>
        </w:tc>
      </w:tr>
      <w:tr w:rsidR="008E7CE9" w:rsidRPr="002B1277" w:rsidTr="008E7CE9">
        <w:tc>
          <w:tcPr>
            <w:tcW w:w="3678" w:type="dxa"/>
          </w:tcPr>
          <w:p w:rsidR="00A73836" w:rsidRPr="00A73836" w:rsidRDefault="004F7969" w:rsidP="00A738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Процессы</w:t>
            </w:r>
          </w:p>
        </w:tc>
        <w:tc>
          <w:tcPr>
            <w:tcW w:w="7938" w:type="dxa"/>
          </w:tcPr>
          <w:p w:rsidR="00A73836" w:rsidRDefault="004F7969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Отсутствие посредников в оказании медицинских услуг.</w:t>
            </w:r>
          </w:p>
          <w:p w:rsidR="004F7969" w:rsidRDefault="004F7969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Полный спектр оказания гарантированного объема амбулаторно-поликлинической бесплатной медицинской помощи.</w:t>
            </w:r>
          </w:p>
          <w:p w:rsidR="00856097" w:rsidRDefault="00856097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Внедрено бесплатное амбулаторное лекарственное обеспечение.</w:t>
            </w:r>
          </w:p>
          <w:p w:rsidR="004F7969" w:rsidRDefault="004F7969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Использование современных медицинских технологий.</w:t>
            </w:r>
          </w:p>
          <w:p w:rsidR="004F7969" w:rsidRDefault="004F7969" w:rsidP="008560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Доступность амбулаторно-поликлинических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стаци</w:t>
            </w:r>
            <w:r w:rsidR="00856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нарозамещающих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видов помощи</w:t>
            </w:r>
            <w:r w:rsidR="00856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856097" w:rsidRDefault="00856097" w:rsidP="008560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Оказание стоматологической помощи в рамках ГОБМП и хозяйственному расчету.</w:t>
            </w:r>
          </w:p>
          <w:p w:rsidR="00856097" w:rsidRDefault="00856097" w:rsidP="008560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100% охват амбулаторно-поликлинической помощью участников ВОВ и лиц, приравненных к ним.</w:t>
            </w:r>
          </w:p>
          <w:p w:rsidR="00856097" w:rsidRDefault="00856097" w:rsidP="008560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Внедрена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цифровизация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поликлиники, развитая компьютеризация и программное обеспечение.</w:t>
            </w:r>
          </w:p>
        </w:tc>
        <w:tc>
          <w:tcPr>
            <w:tcW w:w="6946" w:type="dxa"/>
          </w:tcPr>
          <w:p w:rsidR="00A73836" w:rsidRDefault="00856097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Близость государственных медицинских организаций, оказывающих аналогичные медицинские услуги.</w:t>
            </w:r>
          </w:p>
          <w:p w:rsidR="00856097" w:rsidRDefault="00856097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Низкая плотность проживающего населения на территории обслуживания.</w:t>
            </w:r>
          </w:p>
          <w:p w:rsidR="00856097" w:rsidRDefault="00856097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Территория обслуживания в основном представлена частным сектором.</w:t>
            </w:r>
          </w:p>
          <w:p w:rsidR="00856097" w:rsidRDefault="00856097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Отсутствие интеграции информационных систем поликлиники.</w:t>
            </w:r>
          </w:p>
        </w:tc>
      </w:tr>
      <w:tr w:rsidR="008E7CE9" w:rsidRPr="002B1277" w:rsidTr="008E7CE9">
        <w:tc>
          <w:tcPr>
            <w:tcW w:w="3678" w:type="dxa"/>
          </w:tcPr>
          <w:p w:rsidR="00A73836" w:rsidRPr="00A73836" w:rsidRDefault="004F7969" w:rsidP="00A738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Обучение</w:t>
            </w:r>
          </w:p>
        </w:tc>
        <w:tc>
          <w:tcPr>
            <w:tcW w:w="7938" w:type="dxa"/>
          </w:tcPr>
          <w:p w:rsidR="00A73836" w:rsidRDefault="00797946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Высокая компетентность и квалификация персонала.</w:t>
            </w:r>
          </w:p>
          <w:p w:rsidR="00797946" w:rsidRDefault="00797946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Регулярное повышение квалификации и переподготовка кадров.</w:t>
            </w:r>
          </w:p>
          <w:p w:rsidR="00797946" w:rsidRDefault="00797946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в международных и республиканских конференциях.</w:t>
            </w:r>
          </w:p>
          <w:p w:rsidR="00797946" w:rsidRDefault="00797946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Высокий моральных и этический климат в коллективе.</w:t>
            </w:r>
          </w:p>
          <w:p w:rsidR="00797946" w:rsidRDefault="00797946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Высокая заинтересованность сотрудников в развитии поликлиники.</w:t>
            </w:r>
          </w:p>
          <w:p w:rsidR="00797946" w:rsidRDefault="00797946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797946" w:rsidRDefault="00797946" w:rsidP="007979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Нехватка узких специалистов на амбулаторно-поликлиническом приеме.</w:t>
            </w:r>
          </w:p>
          <w:p w:rsidR="00A73836" w:rsidRDefault="00797946" w:rsidP="007979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Врачи функциональной диагностики работают в качестве совместителей.</w:t>
            </w:r>
          </w:p>
        </w:tc>
      </w:tr>
      <w:tr w:rsidR="008E7CE9" w:rsidRPr="002B1277" w:rsidTr="008E7CE9">
        <w:tc>
          <w:tcPr>
            <w:tcW w:w="3678" w:type="dxa"/>
          </w:tcPr>
          <w:p w:rsidR="00A73836" w:rsidRPr="00A73836" w:rsidRDefault="004F7969" w:rsidP="00A738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Финансы</w:t>
            </w:r>
          </w:p>
        </w:tc>
        <w:tc>
          <w:tcPr>
            <w:tcW w:w="7938" w:type="dxa"/>
          </w:tcPr>
          <w:p w:rsidR="00A73836" w:rsidRDefault="00615A4C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Стабильное бюджетное финансирование</w:t>
            </w:r>
          </w:p>
        </w:tc>
        <w:tc>
          <w:tcPr>
            <w:tcW w:w="6946" w:type="dxa"/>
          </w:tcPr>
          <w:p w:rsidR="00A73836" w:rsidRDefault="00615A4C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Низкий уровень внебюджетных средств в доходе Предприятия</w:t>
            </w:r>
          </w:p>
          <w:p w:rsidR="00615A4C" w:rsidRDefault="00615A4C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E7CE9" w:rsidTr="008E7CE9">
        <w:tc>
          <w:tcPr>
            <w:tcW w:w="3678" w:type="dxa"/>
          </w:tcPr>
          <w:p w:rsidR="00A73836" w:rsidRPr="00A73836" w:rsidRDefault="00A73836" w:rsidP="00A738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:rsidR="00A73836" w:rsidRPr="00615A4C" w:rsidRDefault="00615A4C" w:rsidP="00615A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Opportunities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(Возможности)</w:t>
            </w:r>
          </w:p>
        </w:tc>
        <w:tc>
          <w:tcPr>
            <w:tcW w:w="6946" w:type="dxa"/>
          </w:tcPr>
          <w:p w:rsidR="00A73836" w:rsidRPr="00615A4C" w:rsidRDefault="00615A4C" w:rsidP="00615A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Threats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(Угрозы)</w:t>
            </w:r>
          </w:p>
        </w:tc>
      </w:tr>
      <w:tr w:rsidR="008E7CE9" w:rsidRPr="002B1277" w:rsidTr="008E7CE9">
        <w:tc>
          <w:tcPr>
            <w:tcW w:w="3678" w:type="dxa"/>
          </w:tcPr>
          <w:p w:rsidR="00A73836" w:rsidRPr="00A73836" w:rsidRDefault="004F7969" w:rsidP="00A738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Клиенты</w:t>
            </w:r>
          </w:p>
        </w:tc>
        <w:tc>
          <w:tcPr>
            <w:tcW w:w="7938" w:type="dxa"/>
          </w:tcPr>
          <w:p w:rsidR="00A73836" w:rsidRDefault="00615A4C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Возможность обслуживания близлежащих районов.</w:t>
            </w:r>
          </w:p>
          <w:p w:rsidR="00615A4C" w:rsidRDefault="00615A4C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Разделение ответственности за здоровье с самим населением.</w:t>
            </w:r>
          </w:p>
          <w:p w:rsidR="00615A4C" w:rsidRDefault="00615A4C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A73836" w:rsidRDefault="00615A4C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Высокая безработица обслуживаемого населения.</w:t>
            </w:r>
          </w:p>
          <w:p w:rsidR="00615A4C" w:rsidRDefault="00615A4C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Низкая платежеспособность для развития платных услуг.</w:t>
            </w:r>
          </w:p>
          <w:p w:rsidR="00615A4C" w:rsidRDefault="00615A4C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E7CE9" w:rsidRPr="002B1277" w:rsidTr="008E7CE9">
        <w:tc>
          <w:tcPr>
            <w:tcW w:w="3678" w:type="dxa"/>
          </w:tcPr>
          <w:p w:rsidR="00A73836" w:rsidRPr="00A73836" w:rsidRDefault="004F7969" w:rsidP="00A738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Процессы</w:t>
            </w:r>
          </w:p>
        </w:tc>
        <w:tc>
          <w:tcPr>
            <w:tcW w:w="7938" w:type="dxa"/>
          </w:tcPr>
          <w:p w:rsidR="00A73836" w:rsidRDefault="00615A4C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Осуществление деятельности, приносящий доход.</w:t>
            </w:r>
          </w:p>
          <w:p w:rsidR="00615A4C" w:rsidRDefault="00615A4C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Развитие рынка новых медицинских услуг.</w:t>
            </w:r>
          </w:p>
          <w:p w:rsidR="00615A4C" w:rsidRDefault="00615A4C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Отсутствие конкурентной среды услуг на текущий момент.</w:t>
            </w:r>
          </w:p>
          <w:p w:rsidR="00615A4C" w:rsidRDefault="00615A4C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A73836" w:rsidRDefault="00615A4C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Слабая территориальная доступность.</w:t>
            </w:r>
          </w:p>
          <w:p w:rsidR="00615A4C" w:rsidRDefault="00615A4C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Отсутствие в некоторых районах обслуживания прямых транспортных развязок.</w:t>
            </w:r>
          </w:p>
          <w:p w:rsidR="00615A4C" w:rsidRDefault="00615A4C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Возможность появления конкуренции со стороны частного сектора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здравоохранения в рамках ГОБМП и оказания платных медицинских услуг.</w:t>
            </w:r>
          </w:p>
          <w:p w:rsidR="00615A4C" w:rsidRDefault="00615A4C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F7969" w:rsidRPr="002B1277" w:rsidTr="008E7CE9">
        <w:tc>
          <w:tcPr>
            <w:tcW w:w="3678" w:type="dxa"/>
          </w:tcPr>
          <w:p w:rsidR="004F7969" w:rsidRDefault="004F7969" w:rsidP="00A738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Обучение</w:t>
            </w:r>
          </w:p>
        </w:tc>
        <w:tc>
          <w:tcPr>
            <w:tcW w:w="7938" w:type="dxa"/>
          </w:tcPr>
          <w:p w:rsidR="004F7969" w:rsidRDefault="00FF5E01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Введение наставничества, обучения на рабочем месте молодых специалистов.</w:t>
            </w:r>
          </w:p>
          <w:p w:rsidR="00FF5E01" w:rsidRDefault="00FF5E01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4F7969" w:rsidRDefault="00FF5E01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Сокращение финансирования на повышение квалификации и подготовку кадров из государственного бюджета.</w:t>
            </w:r>
          </w:p>
          <w:p w:rsidR="00FF5E01" w:rsidRDefault="00FF5E01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F7969" w:rsidRPr="002B1277" w:rsidTr="008E7CE9">
        <w:tc>
          <w:tcPr>
            <w:tcW w:w="3678" w:type="dxa"/>
          </w:tcPr>
          <w:p w:rsidR="004F7969" w:rsidRDefault="004F7969" w:rsidP="00A738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Финансы</w:t>
            </w:r>
          </w:p>
        </w:tc>
        <w:tc>
          <w:tcPr>
            <w:tcW w:w="7938" w:type="dxa"/>
          </w:tcPr>
          <w:p w:rsidR="004F7969" w:rsidRDefault="00FF5E01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Устойчивое и своевременное финансирование </w:t>
            </w:r>
            <w:r w:rsidR="008E7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 государственного бюджета.</w:t>
            </w:r>
          </w:p>
          <w:p w:rsidR="008E7CE9" w:rsidRDefault="008E7CE9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Развитие платных медицинских услуг, не входящих в ГОБМП.</w:t>
            </w:r>
          </w:p>
          <w:p w:rsidR="008E7CE9" w:rsidRDefault="008E7CE9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4F7969" w:rsidRDefault="008E7CE9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Экономический кризис.</w:t>
            </w:r>
          </w:p>
          <w:p w:rsidR="008E7CE9" w:rsidRDefault="008E7CE9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Сокращение объемов бюджетного финансирования.</w:t>
            </w:r>
          </w:p>
          <w:p w:rsidR="008E7CE9" w:rsidRDefault="008E7CE9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Отсутствие единых прозрачных подходов к тарифам.</w:t>
            </w:r>
          </w:p>
          <w:p w:rsidR="008E7CE9" w:rsidRDefault="008E7CE9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Рост цен на коммунальные услуги и расходные материалы.</w:t>
            </w:r>
          </w:p>
          <w:p w:rsidR="008E7CE9" w:rsidRDefault="008E7CE9" w:rsidP="00A738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73836" w:rsidRDefault="00A73836" w:rsidP="00A7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E7CE9" w:rsidRDefault="008E7CE9" w:rsidP="00A7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2.5 Анализ управления рисками</w:t>
      </w:r>
    </w:p>
    <w:p w:rsidR="008E7CE9" w:rsidRDefault="008E7CE9" w:rsidP="00A7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E7CE9" w:rsidRDefault="008E7CE9" w:rsidP="008E7C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Таблица – Анализ управления рисками</w:t>
      </w:r>
    </w:p>
    <w:p w:rsidR="008E7CE9" w:rsidRDefault="008E7CE9" w:rsidP="008E7C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9"/>
        <w:gridCol w:w="2251"/>
        <w:gridCol w:w="2215"/>
        <w:gridCol w:w="2890"/>
        <w:gridCol w:w="1763"/>
        <w:gridCol w:w="1844"/>
      </w:tblGrid>
      <w:tr w:rsidR="005D2476" w:rsidTr="007C5DC0">
        <w:tc>
          <w:tcPr>
            <w:tcW w:w="3394" w:type="dxa"/>
          </w:tcPr>
          <w:p w:rsidR="008E7CE9" w:rsidRDefault="008E7CE9" w:rsidP="008E7C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Наименование возможного риска</w:t>
            </w:r>
          </w:p>
        </w:tc>
        <w:tc>
          <w:tcPr>
            <w:tcW w:w="3402" w:type="dxa"/>
          </w:tcPr>
          <w:p w:rsidR="008E7CE9" w:rsidRDefault="008E7CE9" w:rsidP="008E7CE9">
            <w:pPr>
              <w:tabs>
                <w:tab w:val="left" w:pos="9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Цель, на которую может повлиять данный риск</w:t>
            </w:r>
          </w:p>
        </w:tc>
        <w:tc>
          <w:tcPr>
            <w:tcW w:w="3261" w:type="dxa"/>
          </w:tcPr>
          <w:p w:rsidR="008E7CE9" w:rsidRDefault="008E7CE9" w:rsidP="008E7C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Возможные последствия в случае непринятия мер по управлению рисками</w:t>
            </w:r>
          </w:p>
        </w:tc>
        <w:tc>
          <w:tcPr>
            <w:tcW w:w="3543" w:type="dxa"/>
          </w:tcPr>
          <w:p w:rsidR="008E7CE9" w:rsidRDefault="008E7CE9" w:rsidP="008E7C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Запланированные мероприятия по управлению рисками</w:t>
            </w:r>
          </w:p>
        </w:tc>
        <w:tc>
          <w:tcPr>
            <w:tcW w:w="2552" w:type="dxa"/>
          </w:tcPr>
          <w:p w:rsidR="008E7CE9" w:rsidRDefault="008E7CE9" w:rsidP="008E7C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Фактическое исполнение мероприятий по управлению рисками</w:t>
            </w:r>
          </w:p>
        </w:tc>
        <w:tc>
          <w:tcPr>
            <w:tcW w:w="2410" w:type="dxa"/>
          </w:tcPr>
          <w:p w:rsidR="008E7CE9" w:rsidRDefault="008E7CE9" w:rsidP="008E7C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Причины неисполнения</w:t>
            </w:r>
          </w:p>
        </w:tc>
      </w:tr>
      <w:tr w:rsidR="005D2476" w:rsidTr="007C5DC0">
        <w:tc>
          <w:tcPr>
            <w:tcW w:w="3394" w:type="dxa"/>
          </w:tcPr>
          <w:p w:rsidR="008E7CE9" w:rsidRDefault="008E7CE9" w:rsidP="008E7C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402" w:type="dxa"/>
          </w:tcPr>
          <w:p w:rsidR="008E7CE9" w:rsidRDefault="008E7CE9" w:rsidP="008E7C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261" w:type="dxa"/>
          </w:tcPr>
          <w:p w:rsidR="008E7CE9" w:rsidRDefault="008E7CE9" w:rsidP="008E7C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543" w:type="dxa"/>
          </w:tcPr>
          <w:p w:rsidR="008E7CE9" w:rsidRDefault="008E7CE9" w:rsidP="008E7C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2" w:type="dxa"/>
          </w:tcPr>
          <w:p w:rsidR="008E7CE9" w:rsidRDefault="008E7CE9" w:rsidP="008E7C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8E7CE9" w:rsidRDefault="008E7CE9" w:rsidP="008E7C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8E7CE9" w:rsidTr="007C5DC0">
        <w:tc>
          <w:tcPr>
            <w:tcW w:w="18562" w:type="dxa"/>
            <w:gridSpan w:val="6"/>
          </w:tcPr>
          <w:p w:rsidR="008E7CE9" w:rsidRDefault="008E7CE9" w:rsidP="008E7C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Внешние риски</w:t>
            </w:r>
          </w:p>
        </w:tc>
      </w:tr>
      <w:tr w:rsidR="005D2476" w:rsidRPr="002B1277" w:rsidTr="007C5DC0">
        <w:tc>
          <w:tcPr>
            <w:tcW w:w="3394" w:type="dxa"/>
          </w:tcPr>
          <w:p w:rsidR="008E7CE9" w:rsidRDefault="008E7CE9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Сокращение объемов бюджетного финансирования (уменьшение КПН)</w:t>
            </w:r>
          </w:p>
          <w:p w:rsidR="008E7CE9" w:rsidRPr="008E7CE9" w:rsidRDefault="008E7CE9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8E7CE9" w:rsidRPr="008E7CE9" w:rsidRDefault="008E7CE9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Отсутствие дефицита средств для устойчивого развития организации</w:t>
            </w:r>
          </w:p>
        </w:tc>
        <w:tc>
          <w:tcPr>
            <w:tcW w:w="3261" w:type="dxa"/>
          </w:tcPr>
          <w:p w:rsidR="008E7CE9" w:rsidRPr="008E7CE9" w:rsidRDefault="008E7CE9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Кредиторская задолженность</w:t>
            </w:r>
          </w:p>
        </w:tc>
        <w:tc>
          <w:tcPr>
            <w:tcW w:w="3543" w:type="dxa"/>
          </w:tcPr>
          <w:p w:rsidR="008E7CE9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Менеджмент предприятия.</w:t>
            </w:r>
          </w:p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Расширение услуг дневного стационара для оказания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стационарозамещающей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помощи.</w:t>
            </w:r>
          </w:p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Расширение хозрасчетных услуг.</w:t>
            </w:r>
          </w:p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Аренда свободных площадей.</w:t>
            </w:r>
          </w:p>
          <w:p w:rsidR="007C5DC0" w:rsidRPr="008E7CE9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8E7CE9" w:rsidRPr="008E7CE9" w:rsidRDefault="008E7CE9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8E7CE9" w:rsidRPr="008E7CE9" w:rsidRDefault="008E7CE9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C5DC0" w:rsidRPr="008E7CE9" w:rsidTr="007C5DC0">
        <w:tc>
          <w:tcPr>
            <w:tcW w:w="3394" w:type="dxa"/>
          </w:tcPr>
          <w:p w:rsidR="007C5DC0" w:rsidRDefault="007C5DC0" w:rsidP="007C5D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Рост цен на коммунальные услуги и расходные материалы</w:t>
            </w:r>
          </w:p>
        </w:tc>
        <w:tc>
          <w:tcPr>
            <w:tcW w:w="3402" w:type="dxa"/>
          </w:tcPr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Отсутствие дефицита средств для развития Предприятия</w:t>
            </w:r>
          </w:p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Кредиторская задолженность</w:t>
            </w:r>
          </w:p>
        </w:tc>
        <w:tc>
          <w:tcPr>
            <w:tcW w:w="3543" w:type="dxa"/>
          </w:tcPr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Расширение хозрасчетных услуг.</w:t>
            </w:r>
          </w:p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Аренда свободных площадей.</w:t>
            </w:r>
          </w:p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Привлечение спонсорской помощи.</w:t>
            </w:r>
          </w:p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7C5DC0" w:rsidRPr="008E7CE9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C5DC0" w:rsidRPr="008E7CE9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C5DC0" w:rsidRPr="002B1277" w:rsidTr="007C5DC0">
        <w:tc>
          <w:tcPr>
            <w:tcW w:w="3394" w:type="dxa"/>
          </w:tcPr>
          <w:p w:rsidR="007C5DC0" w:rsidRDefault="007C5DC0" w:rsidP="007C5D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Сокращение обслуживаемого населения</w:t>
            </w:r>
          </w:p>
        </w:tc>
        <w:tc>
          <w:tcPr>
            <w:tcW w:w="3402" w:type="dxa"/>
          </w:tcPr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Отсутствие дефицита средств для устойчивого развития организации</w:t>
            </w:r>
          </w:p>
        </w:tc>
        <w:tc>
          <w:tcPr>
            <w:tcW w:w="3261" w:type="dxa"/>
          </w:tcPr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Кредиторская задолженность.</w:t>
            </w:r>
          </w:p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Сокращение штатов</w:t>
            </w:r>
          </w:p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Пересмотр штатного расписания.</w:t>
            </w:r>
          </w:p>
          <w:p w:rsidR="007C5DC0" w:rsidRDefault="007C5DC0" w:rsidP="007C5D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Расширение хозрасчетных услуг.</w:t>
            </w:r>
          </w:p>
          <w:p w:rsidR="007C5DC0" w:rsidRDefault="007C5DC0" w:rsidP="007C5D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Аренда свободных площадей.</w:t>
            </w:r>
          </w:p>
          <w:p w:rsidR="007C5DC0" w:rsidRDefault="007C5DC0" w:rsidP="007C5D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Привлечение спонсорской помощи.</w:t>
            </w:r>
          </w:p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7C5DC0" w:rsidRPr="008E7CE9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C5DC0" w:rsidRPr="008E7CE9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C5DC0" w:rsidRPr="008E7CE9" w:rsidTr="001B16B2">
        <w:tc>
          <w:tcPr>
            <w:tcW w:w="18562" w:type="dxa"/>
            <w:gridSpan w:val="6"/>
          </w:tcPr>
          <w:p w:rsidR="007C5DC0" w:rsidRPr="007C5DC0" w:rsidRDefault="007C5DC0" w:rsidP="007C5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Внутренние риски</w:t>
            </w:r>
          </w:p>
        </w:tc>
      </w:tr>
      <w:tr w:rsidR="007C5DC0" w:rsidRPr="002B1277" w:rsidTr="007C5DC0">
        <w:tc>
          <w:tcPr>
            <w:tcW w:w="3394" w:type="dxa"/>
          </w:tcPr>
          <w:p w:rsidR="007C5DC0" w:rsidRDefault="007C5DC0" w:rsidP="007C5D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Дефект оказания медицинской помощи</w:t>
            </w:r>
          </w:p>
        </w:tc>
        <w:tc>
          <w:tcPr>
            <w:tcW w:w="3402" w:type="dxa"/>
          </w:tcPr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 выполнение индикаторов СКПН и качества, риск возникновения ВБИ</w:t>
            </w:r>
          </w:p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Снижение показателей работы поликлиники</w:t>
            </w:r>
          </w:p>
        </w:tc>
        <w:tc>
          <w:tcPr>
            <w:tcW w:w="3543" w:type="dxa"/>
          </w:tcPr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Утверждение и выполнение стандартов оказания медицинской помощи.</w:t>
            </w:r>
          </w:p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Усиление работы самоконтроля и внутреннего аудита.</w:t>
            </w:r>
          </w:p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Своевременная оценка риска, выбор метода реагирования и корректировка риска.</w:t>
            </w:r>
          </w:p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7C5DC0" w:rsidRPr="008E7CE9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C5DC0" w:rsidRPr="008E7CE9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C5DC0" w:rsidRPr="002B1277" w:rsidTr="007C5DC0">
        <w:tc>
          <w:tcPr>
            <w:tcW w:w="3394" w:type="dxa"/>
          </w:tcPr>
          <w:p w:rsidR="007C5DC0" w:rsidRDefault="007C5DC0" w:rsidP="007C5D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Нарушение санитарного эпидемиологического благополучия медицинской организации</w:t>
            </w:r>
          </w:p>
        </w:tc>
        <w:tc>
          <w:tcPr>
            <w:tcW w:w="3402" w:type="dxa"/>
          </w:tcPr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 возникновения ВБИ</w:t>
            </w:r>
          </w:p>
        </w:tc>
        <w:tc>
          <w:tcPr>
            <w:tcW w:w="3261" w:type="dxa"/>
          </w:tcPr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Возникновение и распространение ВБИ</w:t>
            </w:r>
          </w:p>
        </w:tc>
        <w:tc>
          <w:tcPr>
            <w:tcW w:w="3543" w:type="dxa"/>
          </w:tcPr>
          <w:p w:rsidR="007C5DC0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за соблюдением санитарно-гигиенических требований, своевременное принятие противоэпидемических мероприятий</w:t>
            </w:r>
            <w:r w:rsidR="005D2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 обучение медицинского персонала противодействию распространения ВБИ</w:t>
            </w:r>
          </w:p>
          <w:p w:rsidR="005D2476" w:rsidRDefault="005D2476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7C5DC0" w:rsidRPr="008E7CE9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C5DC0" w:rsidRPr="008E7CE9" w:rsidRDefault="007C5DC0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5D2476" w:rsidRPr="002B1277" w:rsidTr="007C5DC0">
        <w:tc>
          <w:tcPr>
            <w:tcW w:w="3394" w:type="dxa"/>
          </w:tcPr>
          <w:p w:rsidR="005D2476" w:rsidRDefault="005D2476" w:rsidP="007C5D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 профессионального травматизма</w:t>
            </w:r>
          </w:p>
        </w:tc>
        <w:tc>
          <w:tcPr>
            <w:tcW w:w="3402" w:type="dxa"/>
          </w:tcPr>
          <w:p w:rsidR="005D2476" w:rsidRDefault="005D2476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Наличие производственных травм</w:t>
            </w:r>
          </w:p>
        </w:tc>
        <w:tc>
          <w:tcPr>
            <w:tcW w:w="3261" w:type="dxa"/>
          </w:tcPr>
          <w:p w:rsidR="005D2476" w:rsidRDefault="005D2476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Случаи производственной травмы</w:t>
            </w:r>
          </w:p>
        </w:tc>
        <w:tc>
          <w:tcPr>
            <w:tcW w:w="3543" w:type="dxa"/>
          </w:tcPr>
          <w:p w:rsidR="005D2476" w:rsidRDefault="005D2476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Соблюдение техники безопасности и охраны труда на Предприятии, своевременное проведение инструктажа по технике безопасности.</w:t>
            </w:r>
          </w:p>
          <w:p w:rsidR="005D2476" w:rsidRDefault="005D2476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5D2476" w:rsidRPr="008E7CE9" w:rsidRDefault="005D2476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D2476" w:rsidRPr="008E7CE9" w:rsidRDefault="005D2476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5D2476" w:rsidRPr="008E7CE9" w:rsidTr="007C5DC0">
        <w:tc>
          <w:tcPr>
            <w:tcW w:w="3394" w:type="dxa"/>
          </w:tcPr>
          <w:p w:rsidR="008E7CE9" w:rsidRPr="008E7CE9" w:rsidRDefault="005D2476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 не соблюдения противопожарной безопасности</w:t>
            </w:r>
          </w:p>
        </w:tc>
        <w:tc>
          <w:tcPr>
            <w:tcW w:w="3402" w:type="dxa"/>
          </w:tcPr>
          <w:p w:rsidR="008E7CE9" w:rsidRPr="008E7CE9" w:rsidRDefault="00763399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Загорание</w:t>
            </w:r>
          </w:p>
        </w:tc>
        <w:tc>
          <w:tcPr>
            <w:tcW w:w="3261" w:type="dxa"/>
          </w:tcPr>
          <w:p w:rsidR="008E7CE9" w:rsidRPr="008E7CE9" w:rsidRDefault="005D2476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 возникновения загорания</w:t>
            </w:r>
          </w:p>
        </w:tc>
        <w:tc>
          <w:tcPr>
            <w:tcW w:w="3543" w:type="dxa"/>
          </w:tcPr>
          <w:p w:rsidR="008E7CE9" w:rsidRDefault="005D2476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Соблюдение Правил противопожарной безопасности</w:t>
            </w:r>
          </w:p>
          <w:p w:rsidR="005D2476" w:rsidRPr="008E7CE9" w:rsidRDefault="005D2476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8E7CE9" w:rsidRPr="008E7CE9" w:rsidRDefault="008E7CE9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8E7CE9" w:rsidRPr="008E7CE9" w:rsidRDefault="008E7CE9" w:rsidP="008E7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8E7CE9" w:rsidRPr="008E7CE9" w:rsidRDefault="008E7CE9" w:rsidP="008E7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40D38" w:rsidRPr="005D2476" w:rsidRDefault="005D2476" w:rsidP="00440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3. Стратегические направления, цели и целевые индикаторы</w:t>
      </w:r>
    </w:p>
    <w:p w:rsidR="003D0D3D" w:rsidRPr="00F64EA9" w:rsidRDefault="003D0D3D">
      <w:pPr>
        <w:rPr>
          <w:lang w:val="ru-RU"/>
        </w:rPr>
      </w:pPr>
    </w:p>
    <w:tbl>
      <w:tblPr>
        <w:tblW w:w="13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790"/>
        <w:gridCol w:w="1842"/>
        <w:gridCol w:w="1366"/>
        <w:gridCol w:w="1190"/>
        <w:gridCol w:w="992"/>
        <w:gridCol w:w="1843"/>
        <w:gridCol w:w="1134"/>
        <w:gridCol w:w="992"/>
        <w:gridCol w:w="992"/>
      </w:tblGrid>
      <w:tr w:rsidR="00763399" w:rsidRPr="00C04266" w:rsidTr="00763399">
        <w:trPr>
          <w:tblHeader/>
        </w:trPr>
        <w:tc>
          <w:tcPr>
            <w:tcW w:w="475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763399" w:rsidRPr="00F64EA9" w:rsidRDefault="00763399" w:rsidP="00502E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  <w:p w:rsidR="00763399" w:rsidRPr="00F64EA9" w:rsidRDefault="00763399" w:rsidP="00502E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63399" w:rsidRPr="00F64EA9" w:rsidRDefault="00763399" w:rsidP="00502E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763399" w:rsidRPr="00F64EA9" w:rsidRDefault="00763399" w:rsidP="00502E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Целевой индикатор</w:t>
            </w:r>
          </w:p>
          <w:p w:rsidR="00763399" w:rsidRPr="00F64EA9" w:rsidRDefault="00763399" w:rsidP="00502E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763399" w:rsidRPr="00F64EA9" w:rsidRDefault="00763399" w:rsidP="00CD7C61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1366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763399" w:rsidRPr="007C620B" w:rsidRDefault="00763399" w:rsidP="007C620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C620B">
              <w:rPr>
                <w:rFonts w:ascii="Times New Roman" w:hAnsi="Times New Roman" w:cs="Times New Roman"/>
                <w:b/>
                <w:sz w:val="24"/>
                <w:lang w:val="ru-RU"/>
              </w:rPr>
              <w:t>Источник информации</w:t>
            </w:r>
          </w:p>
        </w:tc>
        <w:tc>
          <w:tcPr>
            <w:tcW w:w="119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763399" w:rsidRPr="00F64EA9" w:rsidRDefault="00763399" w:rsidP="00502E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763399" w:rsidRPr="00F64EA9" w:rsidRDefault="00763399" w:rsidP="00502E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Отчет-</w:t>
            </w:r>
            <w:proofErr w:type="spellStart"/>
            <w:r w:rsidRPr="00F6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ный</w:t>
            </w:r>
            <w:proofErr w:type="spellEnd"/>
            <w:r w:rsidRPr="00F6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период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763399" w:rsidRDefault="00763399" w:rsidP="007C620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 текущего го</w:t>
            </w:r>
            <w:r w:rsidRPr="00E21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63399" w:rsidRPr="00647DA7" w:rsidRDefault="00763399" w:rsidP="007C620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3118" w:type="dxa"/>
            <w:gridSpan w:val="3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single" w:sz="4" w:space="0" w:color="auto"/>
            </w:tcBorders>
            <w:vAlign w:val="center"/>
            <w:hideMark/>
          </w:tcPr>
          <w:p w:rsidR="00763399" w:rsidRPr="00C04266" w:rsidRDefault="00763399" w:rsidP="00763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3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Плановый пер</w:t>
            </w:r>
            <w:proofErr w:type="spellStart"/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иод</w:t>
            </w:r>
            <w:proofErr w:type="spellEnd"/>
          </w:p>
        </w:tc>
      </w:tr>
      <w:tr w:rsidR="00763399" w:rsidRPr="00C04266" w:rsidTr="00763399">
        <w:trPr>
          <w:tblHeader/>
        </w:trPr>
        <w:tc>
          <w:tcPr>
            <w:tcW w:w="475" w:type="dxa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763399" w:rsidRPr="00C04266" w:rsidRDefault="00763399" w:rsidP="00502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763399" w:rsidRPr="00C04266" w:rsidRDefault="00763399" w:rsidP="00502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763399" w:rsidRPr="00C04266" w:rsidRDefault="00763399" w:rsidP="00502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763399" w:rsidRPr="00C04266" w:rsidRDefault="00763399" w:rsidP="00502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763399" w:rsidRPr="00C04266" w:rsidRDefault="00763399" w:rsidP="00502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763399" w:rsidRPr="00C04266" w:rsidRDefault="00763399" w:rsidP="00502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763399" w:rsidRPr="00C04266" w:rsidRDefault="00763399" w:rsidP="00502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763399" w:rsidRPr="00C04266" w:rsidRDefault="00763399" w:rsidP="00686B21">
            <w:pPr>
              <w:spacing w:before="100" w:beforeAutospacing="1" w:after="100" w:afterAutospacing="1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763399" w:rsidRPr="00C04266" w:rsidRDefault="00763399" w:rsidP="00763399">
            <w:pPr>
              <w:spacing w:before="100" w:beforeAutospacing="1" w:after="100" w:afterAutospacing="1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single" w:sz="4" w:space="0" w:color="auto"/>
            </w:tcBorders>
            <w:vAlign w:val="center"/>
            <w:hideMark/>
          </w:tcPr>
          <w:p w:rsidR="00763399" w:rsidRPr="00C04266" w:rsidRDefault="00763399" w:rsidP="00763399">
            <w:pPr>
              <w:spacing w:before="100" w:beforeAutospacing="1" w:after="100" w:afterAutospacing="1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24</w:t>
            </w:r>
          </w:p>
        </w:tc>
      </w:tr>
      <w:tr w:rsidR="00763399" w:rsidRPr="00C04266" w:rsidTr="00763399"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C04266" w:rsidRDefault="00763399" w:rsidP="0050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C04266" w:rsidRDefault="00763399" w:rsidP="0050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C04266" w:rsidRDefault="00763399" w:rsidP="0050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C04266" w:rsidRDefault="00763399" w:rsidP="0050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C04266" w:rsidRDefault="00763399" w:rsidP="00502E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C04266" w:rsidRDefault="00763399" w:rsidP="0050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C04266" w:rsidRDefault="00763399" w:rsidP="0050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C04266" w:rsidRDefault="00763399" w:rsidP="0050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C04266" w:rsidRDefault="00763399" w:rsidP="0050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C04266" w:rsidRDefault="00763399" w:rsidP="0050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63399" w:rsidRPr="002B1277" w:rsidTr="00763399">
        <w:trPr>
          <w:trHeight w:val="165"/>
        </w:trPr>
        <w:tc>
          <w:tcPr>
            <w:tcW w:w="1361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C04266" w:rsidRDefault="00763399" w:rsidP="00502E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proofErr w:type="spellStart"/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тратегическое</w:t>
            </w:r>
            <w:proofErr w:type="spellEnd"/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направление 1. Укрепление здоровья населения</w:t>
            </w:r>
          </w:p>
        </w:tc>
      </w:tr>
      <w:tr w:rsidR="00763399" w:rsidRPr="00C04266" w:rsidTr="00763399">
        <w:tc>
          <w:tcPr>
            <w:tcW w:w="1361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C04266" w:rsidRDefault="00763399" w:rsidP="00502E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spellEnd"/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1.1. </w:t>
            </w:r>
            <w:proofErr w:type="spellStart"/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Охранаобщественногоздоровья</w:t>
            </w:r>
            <w:proofErr w:type="spellEnd"/>
          </w:p>
        </w:tc>
      </w:tr>
      <w:tr w:rsidR="00763399" w:rsidRPr="00D44C03" w:rsidTr="00763399">
        <w:trPr>
          <w:trHeight w:val="1825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502EF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C04266" w:rsidRDefault="00763399" w:rsidP="00B46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туберкулезом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D44C03" w:rsidRDefault="00763399" w:rsidP="00B46F5C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главного врача, фтизиатр, врач статистик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C04266" w:rsidRDefault="00763399" w:rsidP="00502EF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стат. </w:t>
            </w:r>
            <w:proofErr w:type="spellStart"/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  <w:proofErr w:type="spellEnd"/>
          </w:p>
          <w:p w:rsidR="00763399" w:rsidRPr="00C04266" w:rsidRDefault="00763399" w:rsidP="00502EF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D44C03" w:rsidRDefault="00763399" w:rsidP="00D44C03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4C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</w:t>
            </w:r>
            <w:r w:rsidRPr="00D44C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44C03" w:rsidRDefault="00763399" w:rsidP="00502E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44C03" w:rsidRDefault="00763399" w:rsidP="00502E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502E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502E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502E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40,5</w:t>
            </w:r>
          </w:p>
        </w:tc>
      </w:tr>
      <w:tr w:rsidR="00763399" w:rsidRPr="00D44C03" w:rsidTr="00763399"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7621AF" w:rsidRDefault="00763399" w:rsidP="00B46F5C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7621AF" w:rsidRDefault="00763399" w:rsidP="00B46F5C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Своевременно диагностированный туберкулез легких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44C03" w:rsidRDefault="00763399" w:rsidP="00B46F5C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главного врача, фтизиатр, врач статистик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B46F5C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стат. </w:t>
            </w:r>
            <w:proofErr w:type="spellStart"/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  <w:proofErr w:type="spellEnd"/>
          </w:p>
          <w:p w:rsidR="00763399" w:rsidRPr="00C04266" w:rsidRDefault="00763399" w:rsidP="00B46F5C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44C03" w:rsidRDefault="00763399" w:rsidP="00B46F5C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44C03" w:rsidRDefault="00763399" w:rsidP="00B46F5C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44C03" w:rsidRDefault="00763399" w:rsidP="00B46F5C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B46F5C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B46F5C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B46F5C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763399" w:rsidRPr="004E0845" w:rsidTr="00763399"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44C03" w:rsidRDefault="00763399" w:rsidP="00B46F5C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46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Удержание показателя заболеваемости инфекционными заболеваниями на уровне не более 315,5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44C03" w:rsidRDefault="00763399" w:rsidP="00B46F5C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главного врача, врач статистик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B46F5C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стат. </w:t>
            </w:r>
            <w:proofErr w:type="spellStart"/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  <w:proofErr w:type="spellEnd"/>
          </w:p>
          <w:p w:rsidR="00763399" w:rsidRPr="00C04266" w:rsidRDefault="00763399" w:rsidP="00B46F5C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46F5C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4C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</w:t>
            </w:r>
            <w:r w:rsidRPr="00D44C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46F5C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46F5C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011803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B46F5C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B46F5C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120,5</w:t>
            </w:r>
          </w:p>
        </w:tc>
      </w:tr>
      <w:tr w:rsidR="00763399" w:rsidRPr="004E0845" w:rsidTr="00763399"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46F5C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46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Распространенность ожирения на 100 тыс. нас.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44C03" w:rsidRDefault="00763399" w:rsidP="00B46F5C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главного врача, врач статистик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B46F5C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стат. </w:t>
            </w:r>
            <w:proofErr w:type="spellStart"/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  <w:proofErr w:type="spellEnd"/>
          </w:p>
          <w:p w:rsidR="00763399" w:rsidRPr="00C04266" w:rsidRDefault="00763399" w:rsidP="00B46F5C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46F5C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4C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</w:t>
            </w:r>
            <w:r w:rsidRPr="00D44C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46F5C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46F5C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B46F5C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B46F5C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B46F5C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75,5</w:t>
            </w:r>
          </w:p>
        </w:tc>
      </w:tr>
      <w:tr w:rsidR="00763399" w:rsidRPr="002B1277" w:rsidTr="00763399">
        <w:tc>
          <w:tcPr>
            <w:tcW w:w="1361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C04266" w:rsidRDefault="00763399" w:rsidP="00B46F5C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Цель 1.2.</w:t>
            </w:r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Улучшение доступности медицинской помощи</w:t>
            </w:r>
          </w:p>
        </w:tc>
      </w:tr>
      <w:tr w:rsidR="00763399" w:rsidRPr="00C04266" w:rsidTr="00763399"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7621AF" w:rsidRDefault="00763399" w:rsidP="00B46F5C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C04266" w:rsidRDefault="00763399" w:rsidP="00B46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смертность</w:t>
            </w:r>
            <w:proofErr w:type="spellEnd"/>
          </w:p>
          <w:p w:rsidR="00763399" w:rsidRPr="00C04266" w:rsidRDefault="00763399" w:rsidP="00B46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proofErr w:type="spellEnd"/>
          </w:p>
          <w:p w:rsidR="00763399" w:rsidRPr="00C04266" w:rsidRDefault="00763399" w:rsidP="00B46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44C03" w:rsidRDefault="00763399" w:rsidP="00B46F5C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главного врача, врач статистик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B46F5C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стат. </w:t>
            </w:r>
            <w:proofErr w:type="spellStart"/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  <w:proofErr w:type="spellEnd"/>
          </w:p>
          <w:p w:rsidR="00763399" w:rsidRPr="00C04266" w:rsidRDefault="00763399" w:rsidP="00B46F5C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46F5C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4C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</w:t>
            </w:r>
            <w:r w:rsidRPr="00D44C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B46F5C" w:rsidRDefault="00763399" w:rsidP="00B46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9198B" w:rsidRDefault="00763399" w:rsidP="00B46F5C">
            <w:pPr>
              <w:spacing w:before="100" w:beforeAutospacing="1" w:after="100" w:afterAutospacing="1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B46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B46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B46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763399" w:rsidRPr="00B46F5C" w:rsidTr="00763399"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B46F5C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C04266" w:rsidRDefault="00763399" w:rsidP="00B46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смертность</w:t>
            </w:r>
            <w:proofErr w:type="spellEnd"/>
          </w:p>
          <w:p w:rsidR="00763399" w:rsidRPr="00C04266" w:rsidRDefault="00763399" w:rsidP="00B46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44C03" w:rsidRDefault="00763399" w:rsidP="00B46F5C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главного врача, зав. женской консультации, врач статистик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B46F5C" w:rsidRDefault="00763399" w:rsidP="00B46F5C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стат. </w:t>
            </w:r>
            <w:r w:rsidRPr="00B46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</w:p>
          <w:p w:rsidR="00763399" w:rsidRPr="00B46F5C" w:rsidRDefault="00763399" w:rsidP="00B46F5C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B46F5C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1000 родившихся живыми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B46F5C" w:rsidRDefault="00763399" w:rsidP="00B46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B46F5C" w:rsidRDefault="00763399" w:rsidP="00B46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B46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B46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B46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63399" w:rsidRPr="007621AF" w:rsidTr="00763399"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B46F5C" w:rsidRDefault="00763399" w:rsidP="0049198B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7621AF" w:rsidRDefault="00763399" w:rsidP="004919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Детская смертность от 7 дней до 5 лет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44C03" w:rsidRDefault="00763399" w:rsidP="0049198B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главного врача, зав. отд. педиатрии, ВОП, врач статистик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B46F5C" w:rsidRDefault="00763399" w:rsidP="0049198B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стат. </w:t>
            </w:r>
            <w:r w:rsidRPr="00B46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</w:p>
          <w:p w:rsidR="00763399" w:rsidRPr="00B46F5C" w:rsidRDefault="00763399" w:rsidP="0049198B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49198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1000 населения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7621AF" w:rsidRDefault="00763399" w:rsidP="004919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7621AF" w:rsidRDefault="00763399" w:rsidP="004919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4919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4919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4919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63399" w:rsidRPr="00B46F5C" w:rsidTr="00763399"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7621AF" w:rsidRDefault="00763399" w:rsidP="0049198B">
            <w:pPr>
              <w:spacing w:before="100" w:beforeAutospacing="1" w:after="100" w:afterAutospacing="1" w:line="240" w:lineRule="auto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B46F5C" w:rsidRDefault="00763399" w:rsidP="004919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Материнская смертность</w:t>
            </w:r>
          </w:p>
          <w:p w:rsidR="00763399" w:rsidRPr="00B46F5C" w:rsidRDefault="00763399" w:rsidP="004919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44C03" w:rsidRDefault="00763399" w:rsidP="0049198B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главного врача, зав. женской консультации, врач статистик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B46F5C" w:rsidRDefault="00763399" w:rsidP="0049198B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стат. </w:t>
            </w:r>
            <w:r w:rsidRPr="00B46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</w:p>
          <w:p w:rsidR="00763399" w:rsidRPr="00B46F5C" w:rsidRDefault="00763399" w:rsidP="0049198B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49198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100 тыс. родившихся живыми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B46F5C" w:rsidRDefault="00763399" w:rsidP="0049198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B46F5C" w:rsidRDefault="00763399" w:rsidP="0049198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49198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49198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49198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63399" w:rsidRPr="00B46F5C" w:rsidTr="00763399"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B46F5C" w:rsidRDefault="00763399" w:rsidP="0049198B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4E0845" w:rsidRDefault="00763399" w:rsidP="004919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8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Смертность от болезней системы кровообращения</w:t>
            </w:r>
          </w:p>
          <w:p w:rsidR="00763399" w:rsidRPr="004E0845" w:rsidRDefault="00763399" w:rsidP="004919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44C03" w:rsidRDefault="00763399" w:rsidP="00756B6E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главного врача, зав. отд. ВОП, врач статистик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9198B" w:rsidRDefault="00763399" w:rsidP="0049198B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стат. </w:t>
            </w:r>
            <w:r w:rsidRPr="00491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</w:p>
          <w:p w:rsidR="00763399" w:rsidRPr="0049198B" w:rsidRDefault="00763399" w:rsidP="0049198B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49198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4C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</w:t>
            </w:r>
            <w:r w:rsidRPr="00D44C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B46F5C" w:rsidRDefault="00763399" w:rsidP="0049198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225,4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B46F5C" w:rsidRDefault="00763399" w:rsidP="0049198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225,4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49198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49198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215,0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4F70E6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210,0</w:t>
            </w:r>
          </w:p>
        </w:tc>
      </w:tr>
      <w:tr w:rsidR="00763399" w:rsidRPr="004F70E6" w:rsidTr="00763399"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B46F5C" w:rsidRDefault="00763399" w:rsidP="00756B6E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75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госпитализации больных с осложнениями заболеваний сердечно-сосудистой системы (инфаркт миокарда, инсульт)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44C03" w:rsidRDefault="00763399" w:rsidP="00756B6E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главного врача, зав. отд. ВОП, врач статистик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9198B" w:rsidRDefault="00763399" w:rsidP="00756B6E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стат. </w:t>
            </w:r>
            <w:r w:rsidRPr="00491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</w:p>
          <w:p w:rsidR="00763399" w:rsidRPr="0049198B" w:rsidRDefault="00763399" w:rsidP="00756B6E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756B6E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E861C0" w:rsidRDefault="00763399" w:rsidP="00756B6E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32,27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E861C0" w:rsidRDefault="00763399" w:rsidP="00756B6E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756B6E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756B6E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756B6E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31,5</w:t>
            </w:r>
          </w:p>
        </w:tc>
      </w:tr>
      <w:tr w:rsidR="00763399" w:rsidRPr="00C04266" w:rsidTr="00763399"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E861C0" w:rsidRDefault="00763399" w:rsidP="00756B6E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C04266" w:rsidRDefault="00763399" w:rsidP="0075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отзлокачествен</w:t>
            </w:r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заболеваний</w:t>
            </w:r>
            <w:proofErr w:type="spellEnd"/>
          </w:p>
          <w:p w:rsidR="00763399" w:rsidRPr="00C04266" w:rsidRDefault="00763399" w:rsidP="0075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44C03" w:rsidRDefault="00763399" w:rsidP="00756B6E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главного врача, зав. отд. ВОП, врач статистик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9198B" w:rsidRDefault="00763399" w:rsidP="00756B6E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стат. </w:t>
            </w:r>
            <w:r w:rsidRPr="00491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</w:p>
          <w:p w:rsidR="00763399" w:rsidRPr="0049198B" w:rsidRDefault="00763399" w:rsidP="00756B6E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756B6E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4C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</w:t>
            </w:r>
            <w:r w:rsidRPr="00D44C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756B6E" w:rsidRDefault="00763399" w:rsidP="00756B6E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756B6E" w:rsidRDefault="00763399" w:rsidP="00756B6E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756B6E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756B6E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756B6E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</w:tr>
      <w:tr w:rsidR="00763399" w:rsidRPr="004E0845" w:rsidTr="00763399"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756B6E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75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Ранняя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злокачественных новообразований (1-2 стадия) на 100 тыс. нас.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44C03" w:rsidRDefault="00763399" w:rsidP="00756B6E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главного врача, зав. отд. ВОП, врач статистик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9198B" w:rsidRDefault="00763399" w:rsidP="00756B6E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стат. </w:t>
            </w:r>
            <w:r w:rsidRPr="00491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</w:p>
          <w:p w:rsidR="00763399" w:rsidRPr="0049198B" w:rsidRDefault="00763399" w:rsidP="00756B6E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756B6E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4C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</w:t>
            </w:r>
            <w:r w:rsidRPr="00D44C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756B6E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756B6E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756B6E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756B6E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756B6E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763399" w:rsidRPr="004E0845" w:rsidTr="00763399">
        <w:trPr>
          <w:trHeight w:val="769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756B6E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75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Смертность от несчастных случаев и отравлений на 100 тыс. нас.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44C03" w:rsidRDefault="00763399" w:rsidP="00756B6E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главного врача, зав. отд. ВОП, врач статистик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9198B" w:rsidRDefault="00763399" w:rsidP="00756B6E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стат. </w:t>
            </w:r>
            <w:r w:rsidRPr="00491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</w:p>
          <w:p w:rsidR="00763399" w:rsidRPr="0049198B" w:rsidRDefault="00763399" w:rsidP="00756B6E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756B6E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4C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</w:t>
            </w:r>
            <w:r w:rsidRPr="00D44C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756B6E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29,7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756B6E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756B6E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756B6E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756B6E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28,5</w:t>
            </w:r>
          </w:p>
        </w:tc>
      </w:tr>
      <w:tr w:rsidR="00763399" w:rsidRPr="004E0845" w:rsidTr="00763399"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B643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Охват патронажными посещениями новорожденных в первые трое суток после выписки из родильного дома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44C03" w:rsidRDefault="00763399" w:rsidP="00B643FB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главного врача, зав. отд. педиатрии, ВОП, врач статистик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9198B" w:rsidRDefault="00763399" w:rsidP="00B643FB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стат. </w:t>
            </w:r>
            <w:r w:rsidRPr="00491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</w:p>
          <w:p w:rsidR="00763399" w:rsidRPr="0049198B" w:rsidRDefault="00763399" w:rsidP="00B643FB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B643F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011803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011803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763399" w:rsidRPr="004E0845" w:rsidTr="00763399"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B643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Удельный вес детей до 5 лет, госпитализированных с острыми респираторными инфекциями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44C03" w:rsidRDefault="00763399" w:rsidP="00B643FB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главного врача, зав. отд. педиатрии, ВОП, врач статистик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9198B" w:rsidRDefault="00763399" w:rsidP="00B643FB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стат. </w:t>
            </w:r>
            <w:r w:rsidRPr="00491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</w:p>
          <w:p w:rsidR="00763399" w:rsidRPr="0049198B" w:rsidRDefault="00763399" w:rsidP="00B643FB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1B16B2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B643F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B643F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0,7</w:t>
            </w:r>
          </w:p>
        </w:tc>
      </w:tr>
      <w:tr w:rsidR="00763399" w:rsidRPr="002B1277" w:rsidTr="00763399">
        <w:tc>
          <w:tcPr>
            <w:tcW w:w="1361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C04266" w:rsidRDefault="00763399" w:rsidP="00B643F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Стратегическое направление 2. Повышение эффективности системы здравоохранения</w:t>
            </w:r>
          </w:p>
        </w:tc>
      </w:tr>
      <w:tr w:rsidR="00763399" w:rsidRPr="002B1277" w:rsidTr="00763399">
        <w:tc>
          <w:tcPr>
            <w:tcW w:w="1361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C04266" w:rsidRDefault="00763399" w:rsidP="00B643F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Цель 2.1. Совершенствование управления и финансирования системы здравоохранения</w:t>
            </w:r>
          </w:p>
        </w:tc>
      </w:tr>
      <w:tr w:rsidR="00763399" w:rsidRPr="004E0845" w:rsidTr="00763399"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7621AF" w:rsidRDefault="00763399" w:rsidP="00B643FB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B643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Аккредитация медицинской организации, оказывающей амбулаторно-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поликлиническую помощь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Заместитель главного врача, врач эксперт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свидетельство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внешняя оценка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63399" w:rsidRPr="004E0845" w:rsidTr="00763399"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7621AF" w:rsidRDefault="00763399" w:rsidP="00B643FB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B643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Открытие и функционирование молодежного центра здоровья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главного врача, врач эксперт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структурное подразделение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63399" w:rsidRPr="004E0845" w:rsidTr="00763399"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7621AF" w:rsidRDefault="00763399" w:rsidP="00B643FB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B643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и функционирование Центра амбулаторной реабилитации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главного врача, врач эксперт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структурное подразделение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9B0B7B" w:rsidP="00B64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9B0B7B" w:rsidP="00B64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B64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63399" w:rsidRPr="004E0845" w:rsidTr="00763399"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7621AF" w:rsidRDefault="00763399" w:rsidP="008950FD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89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участковых терапевтов, педиатров, ВОП организаций ПМСП в общем числе врачей ПМСП на 100 тыс. нас.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44C03" w:rsidRDefault="00763399" w:rsidP="008950FD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главного врача, врач статистик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8950FD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стат. </w:t>
            </w:r>
            <w:proofErr w:type="spellStart"/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  <w:proofErr w:type="spellEnd"/>
          </w:p>
          <w:p w:rsidR="00763399" w:rsidRPr="00C04266" w:rsidRDefault="00763399" w:rsidP="008950FD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8950F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895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895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895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895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1B1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763399" w:rsidRPr="004E0845" w:rsidTr="00763399"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8950FD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89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обоснованных жалоб населения по вопросам качества оказания медицинских услуг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44C03" w:rsidRDefault="00763399" w:rsidP="007B2AA0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главного врача, врач эксперт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8950FD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стат. </w:t>
            </w:r>
            <w:proofErr w:type="spellStart"/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  <w:proofErr w:type="spellEnd"/>
          </w:p>
          <w:p w:rsidR="00763399" w:rsidRPr="00C04266" w:rsidRDefault="00763399" w:rsidP="008950FD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8950F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число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895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895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895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895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8A3C29" w:rsidRDefault="00763399" w:rsidP="00895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63399" w:rsidRPr="004E0845" w:rsidTr="00763399"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8950FD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89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8950FD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895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8950F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8950F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8950F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8950F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8950F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4E0845" w:rsidRDefault="00763399" w:rsidP="008950F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3399" w:rsidRPr="002B1277" w:rsidTr="00763399">
        <w:tc>
          <w:tcPr>
            <w:tcW w:w="1361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C04266" w:rsidRDefault="00763399" w:rsidP="008950F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</w:t>
            </w:r>
            <w:proofErr w:type="spellStart"/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тратегическое</w:t>
            </w:r>
            <w:proofErr w:type="spellEnd"/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направление 2.</w:t>
            </w:r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Повышение эффективности системы здравоохранения</w:t>
            </w:r>
          </w:p>
        </w:tc>
      </w:tr>
      <w:tr w:rsidR="00763399" w:rsidRPr="002B1277" w:rsidTr="00763399">
        <w:tc>
          <w:tcPr>
            <w:tcW w:w="1361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C04266" w:rsidRDefault="00763399" w:rsidP="008950F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Цель 2.2.</w:t>
            </w: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</w:t>
            </w: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0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кадрового потенциала в сфере здравоохранения</w:t>
            </w:r>
          </w:p>
        </w:tc>
      </w:tr>
      <w:tr w:rsidR="00763399" w:rsidRPr="00C04266" w:rsidTr="00763399"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B46F5C" w:rsidRDefault="00763399" w:rsidP="00751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F4174B" w:rsidRDefault="00763399" w:rsidP="00751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Укомплектованность врачебных кадров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A6B31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Инспектор отдела кадров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Отчет 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A6B31" w:rsidRDefault="00763399" w:rsidP="0075118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</w:tr>
      <w:tr w:rsidR="00763399" w:rsidRPr="00C04266" w:rsidTr="00763399">
        <w:tc>
          <w:tcPr>
            <w:tcW w:w="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C04266" w:rsidRDefault="00763399" w:rsidP="00751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3399" w:rsidRPr="00C04266" w:rsidRDefault="00763399" w:rsidP="00751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работников</w:t>
            </w:r>
            <w:r w:rsidRPr="00C042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прошедших повышение квалификации и переподготовку внутри страны и за рубежом от общего числа врачей государственных организаций здравоохранения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A6B31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Инспектор отдела кадров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Отчет 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A6B31" w:rsidRDefault="00763399" w:rsidP="0075118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763399" w:rsidRPr="00C04266" w:rsidTr="00763399">
        <w:tc>
          <w:tcPr>
            <w:tcW w:w="47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751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751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врачей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75118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763399" w:rsidRPr="00C04266" w:rsidTr="00763399">
        <w:tc>
          <w:tcPr>
            <w:tcW w:w="4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751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751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медицинских сестер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751180">
            <w:pPr>
              <w:spacing w:before="100" w:beforeAutospacing="1" w:after="100" w:afterAutospacing="1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75118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763399" w:rsidRPr="00F4174B" w:rsidTr="00763399">
        <w:tc>
          <w:tcPr>
            <w:tcW w:w="4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F4174B" w:rsidRDefault="00763399" w:rsidP="00751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Удельный вес медицинских работников, имеющих квалификационную категорию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A6B31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Инспектор отдела кадров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Отчет 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DA6B31" w:rsidRDefault="00763399" w:rsidP="0075118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763399" w:rsidRPr="00F4174B" w:rsidTr="00763399">
        <w:tc>
          <w:tcPr>
            <w:tcW w:w="4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F4174B" w:rsidRDefault="00763399" w:rsidP="00751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врачей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F4174B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751180">
            <w:pPr>
              <w:spacing w:before="100" w:beforeAutospacing="1" w:after="100" w:afterAutospacing="1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F4174B" w:rsidRDefault="00763399" w:rsidP="0075118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763399" w:rsidRPr="00F4174B" w:rsidTr="00763399">
        <w:tc>
          <w:tcPr>
            <w:tcW w:w="4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F4174B" w:rsidRDefault="00763399" w:rsidP="00751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медицинских сестер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F4174B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C04266" w:rsidRDefault="00763399" w:rsidP="00751180">
            <w:pPr>
              <w:spacing w:before="100" w:beforeAutospacing="1" w:after="100" w:afterAutospacing="1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Pr="00F4174B" w:rsidRDefault="00763399" w:rsidP="0075118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3399" w:rsidRDefault="00763399" w:rsidP="007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</w:tbl>
    <w:p w:rsidR="00A317BE" w:rsidRPr="00176569" w:rsidRDefault="00A317BE" w:rsidP="00A317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6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proofErr w:type="spellEnd"/>
      <w:r w:rsidRPr="00176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176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proofErr w:type="spellStart"/>
      <w:r w:rsidRPr="00176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Ресурсы</w:t>
      </w:r>
      <w:proofErr w:type="spellEnd"/>
    </w:p>
    <w:p w:rsidR="00A317BE" w:rsidRPr="00176569" w:rsidRDefault="00A317BE" w:rsidP="00A317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266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2"/>
        <w:gridCol w:w="3917"/>
        <w:gridCol w:w="1357"/>
        <w:gridCol w:w="1947"/>
        <w:gridCol w:w="2030"/>
        <w:gridCol w:w="1935"/>
        <w:gridCol w:w="1734"/>
      </w:tblGrid>
      <w:tr w:rsidR="00A317BE" w:rsidTr="00046898">
        <w:tc>
          <w:tcPr>
            <w:tcW w:w="642" w:type="dxa"/>
            <w:vMerge w:val="restart"/>
          </w:tcPr>
          <w:p w:rsidR="00A317BE" w:rsidRPr="00214527" w:rsidRDefault="00A317BE" w:rsidP="000468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3917" w:type="dxa"/>
            <w:vMerge w:val="restart"/>
          </w:tcPr>
          <w:p w:rsidR="00A317BE" w:rsidRPr="00214527" w:rsidRDefault="00A317BE" w:rsidP="000468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Ресурсы</w:t>
            </w:r>
          </w:p>
        </w:tc>
        <w:tc>
          <w:tcPr>
            <w:tcW w:w="1357" w:type="dxa"/>
            <w:vMerge w:val="restart"/>
          </w:tcPr>
          <w:p w:rsidR="00A317BE" w:rsidRPr="00214527" w:rsidRDefault="00A317BE" w:rsidP="000468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947" w:type="dxa"/>
            <w:vMerge w:val="restart"/>
          </w:tcPr>
          <w:p w:rsidR="00A317BE" w:rsidRPr="00214527" w:rsidRDefault="00A317BE" w:rsidP="000468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Факт тек. года</w:t>
            </w:r>
          </w:p>
        </w:tc>
        <w:tc>
          <w:tcPr>
            <w:tcW w:w="5699" w:type="dxa"/>
            <w:gridSpan w:val="3"/>
          </w:tcPr>
          <w:p w:rsidR="00A317BE" w:rsidRPr="009A0412" w:rsidRDefault="00A317BE" w:rsidP="000468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План (годы)</w:t>
            </w:r>
          </w:p>
        </w:tc>
      </w:tr>
      <w:tr w:rsidR="00A317BE" w:rsidTr="00046898">
        <w:tc>
          <w:tcPr>
            <w:tcW w:w="642" w:type="dxa"/>
            <w:vMerge/>
          </w:tcPr>
          <w:p w:rsidR="00A317BE" w:rsidRPr="00214527" w:rsidRDefault="00A317BE" w:rsidP="000468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17" w:type="dxa"/>
            <w:vMerge/>
          </w:tcPr>
          <w:p w:rsidR="00A317BE" w:rsidRPr="00214527" w:rsidRDefault="00A317BE" w:rsidP="000468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:rsidR="00A317BE" w:rsidRPr="00214527" w:rsidRDefault="00A317BE" w:rsidP="000468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Merge/>
          </w:tcPr>
          <w:p w:rsidR="00A317BE" w:rsidRPr="00214527" w:rsidRDefault="00A317BE" w:rsidP="000468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A317BE" w:rsidRPr="009A0412" w:rsidRDefault="00A317BE" w:rsidP="000468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935" w:type="dxa"/>
          </w:tcPr>
          <w:p w:rsidR="00A317BE" w:rsidRPr="009A0412" w:rsidRDefault="00A317BE" w:rsidP="000468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2020</w:t>
            </w:r>
          </w:p>
        </w:tc>
        <w:tc>
          <w:tcPr>
            <w:tcW w:w="1734" w:type="dxa"/>
          </w:tcPr>
          <w:p w:rsidR="00A317BE" w:rsidRPr="009A0412" w:rsidRDefault="00A317BE" w:rsidP="000468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2021</w:t>
            </w:r>
          </w:p>
        </w:tc>
      </w:tr>
      <w:tr w:rsidR="00A317BE" w:rsidTr="00046898">
        <w:tc>
          <w:tcPr>
            <w:tcW w:w="642" w:type="dxa"/>
          </w:tcPr>
          <w:p w:rsidR="00A317BE" w:rsidRPr="009A0412" w:rsidRDefault="00A317BE" w:rsidP="000468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9A04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917" w:type="dxa"/>
          </w:tcPr>
          <w:p w:rsidR="00A317BE" w:rsidRPr="009A0412" w:rsidRDefault="00A317BE" w:rsidP="000468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357" w:type="dxa"/>
          </w:tcPr>
          <w:p w:rsidR="00A317BE" w:rsidRPr="009A0412" w:rsidRDefault="00A317BE" w:rsidP="000468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947" w:type="dxa"/>
          </w:tcPr>
          <w:p w:rsidR="00A317BE" w:rsidRPr="009A0412" w:rsidRDefault="00A317BE" w:rsidP="000468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030" w:type="dxa"/>
          </w:tcPr>
          <w:p w:rsidR="00A317BE" w:rsidRPr="009A0412" w:rsidRDefault="00A317BE" w:rsidP="000468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935" w:type="dxa"/>
          </w:tcPr>
          <w:p w:rsidR="00A317BE" w:rsidRPr="009A0412" w:rsidRDefault="00A317BE" w:rsidP="000468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734" w:type="dxa"/>
          </w:tcPr>
          <w:p w:rsidR="00A317BE" w:rsidRPr="009A0412" w:rsidRDefault="00A317BE" w:rsidP="000468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A317BE" w:rsidRPr="00C679E2" w:rsidTr="00046898">
        <w:tc>
          <w:tcPr>
            <w:tcW w:w="642" w:type="dxa"/>
            <w:vMerge w:val="restart"/>
          </w:tcPr>
          <w:p w:rsidR="00A317BE" w:rsidRPr="009A041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917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Финансовые всего, в том числе:</w:t>
            </w:r>
          </w:p>
        </w:tc>
        <w:tc>
          <w:tcPr>
            <w:tcW w:w="1357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тыс. тенге</w:t>
            </w:r>
          </w:p>
        </w:tc>
        <w:tc>
          <w:tcPr>
            <w:tcW w:w="1947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421 263,1</w:t>
            </w:r>
          </w:p>
        </w:tc>
        <w:tc>
          <w:tcPr>
            <w:tcW w:w="2030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435 804,0</w:t>
            </w:r>
          </w:p>
        </w:tc>
        <w:tc>
          <w:tcPr>
            <w:tcW w:w="1935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452 895,91</w:t>
            </w:r>
          </w:p>
        </w:tc>
        <w:tc>
          <w:tcPr>
            <w:tcW w:w="1734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484 598,57</w:t>
            </w:r>
          </w:p>
        </w:tc>
      </w:tr>
      <w:tr w:rsidR="00A317BE" w:rsidRPr="00C679E2" w:rsidTr="00046898">
        <w:tc>
          <w:tcPr>
            <w:tcW w:w="642" w:type="dxa"/>
            <w:vMerge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17" w:type="dxa"/>
          </w:tcPr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БП 067 100 – Обеспечение гарантированного объема бесплатной медицинской помощи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( амбулаторно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-поликлиническая помощь)</w:t>
            </w:r>
          </w:p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БП 067 100 -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Стационарозамещающяя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помощь</w:t>
            </w:r>
          </w:p>
        </w:tc>
        <w:tc>
          <w:tcPr>
            <w:tcW w:w="1357" w:type="dxa"/>
          </w:tcPr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тыс. тенге</w:t>
            </w:r>
          </w:p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тыс.тенге</w:t>
            </w:r>
            <w:proofErr w:type="spellEnd"/>
          </w:p>
        </w:tc>
        <w:tc>
          <w:tcPr>
            <w:tcW w:w="1947" w:type="dxa"/>
          </w:tcPr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391 394,9</w:t>
            </w:r>
          </w:p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29 868,2</w:t>
            </w:r>
          </w:p>
        </w:tc>
        <w:tc>
          <w:tcPr>
            <w:tcW w:w="2030" w:type="dxa"/>
          </w:tcPr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403 671,0</w:t>
            </w:r>
          </w:p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32 133,0</w:t>
            </w:r>
          </w:p>
        </w:tc>
        <w:tc>
          <w:tcPr>
            <w:tcW w:w="1935" w:type="dxa"/>
          </w:tcPr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418 513,60</w:t>
            </w:r>
          </w:p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34 382,31</w:t>
            </w:r>
          </w:p>
        </w:tc>
        <w:tc>
          <w:tcPr>
            <w:tcW w:w="1734" w:type="dxa"/>
          </w:tcPr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447 809,50</w:t>
            </w:r>
          </w:p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36 789,07</w:t>
            </w:r>
          </w:p>
        </w:tc>
      </w:tr>
      <w:tr w:rsidR="00A317BE" w:rsidRPr="00C679E2" w:rsidTr="00046898">
        <w:tc>
          <w:tcPr>
            <w:tcW w:w="642" w:type="dxa"/>
            <w:vMerge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17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«Обеспечение лекарственными средствами отдельных категорий населения»</w:t>
            </w:r>
          </w:p>
        </w:tc>
        <w:tc>
          <w:tcPr>
            <w:tcW w:w="1357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тыс. тенге</w:t>
            </w:r>
          </w:p>
        </w:tc>
        <w:tc>
          <w:tcPr>
            <w:tcW w:w="1947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24 597,60</w:t>
            </w:r>
          </w:p>
        </w:tc>
        <w:tc>
          <w:tcPr>
            <w:tcW w:w="2030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27 910,00</w:t>
            </w:r>
          </w:p>
        </w:tc>
        <w:tc>
          <w:tcPr>
            <w:tcW w:w="1935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29 863,70</w:t>
            </w:r>
          </w:p>
        </w:tc>
        <w:tc>
          <w:tcPr>
            <w:tcW w:w="1734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31 954,16</w:t>
            </w:r>
          </w:p>
        </w:tc>
      </w:tr>
      <w:tr w:rsidR="00A317BE" w:rsidRPr="00C679E2" w:rsidTr="00046898">
        <w:tc>
          <w:tcPr>
            <w:tcW w:w="642" w:type="dxa"/>
            <w:vMerge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17" w:type="dxa"/>
          </w:tcPr>
          <w:p w:rsidR="00A317BE" w:rsidRPr="00542DF4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42D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357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47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30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35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34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317BE" w:rsidRPr="00C679E2" w:rsidTr="00046898">
        <w:tc>
          <w:tcPr>
            <w:tcW w:w="642" w:type="dxa"/>
            <w:vMerge w:val="restart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917" w:type="dxa"/>
          </w:tcPr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Человеческие всего, в том числе:</w:t>
            </w:r>
          </w:p>
        </w:tc>
        <w:tc>
          <w:tcPr>
            <w:tcW w:w="1357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1947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33 777</w:t>
            </w:r>
          </w:p>
        </w:tc>
        <w:tc>
          <w:tcPr>
            <w:tcW w:w="2030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34 000</w:t>
            </w:r>
          </w:p>
        </w:tc>
        <w:tc>
          <w:tcPr>
            <w:tcW w:w="1935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35 000</w:t>
            </w:r>
          </w:p>
        </w:tc>
        <w:tc>
          <w:tcPr>
            <w:tcW w:w="1734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35 500</w:t>
            </w:r>
          </w:p>
        </w:tc>
      </w:tr>
      <w:tr w:rsidR="00A317BE" w:rsidRPr="00C679E2" w:rsidTr="00046898">
        <w:tc>
          <w:tcPr>
            <w:tcW w:w="642" w:type="dxa"/>
            <w:vMerge/>
          </w:tcPr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17" w:type="dxa"/>
          </w:tcPr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«Повышение квалификации и переподготовка кадров»</w:t>
            </w:r>
          </w:p>
        </w:tc>
        <w:tc>
          <w:tcPr>
            <w:tcW w:w="1357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тыс. тенге</w:t>
            </w:r>
          </w:p>
        </w:tc>
        <w:tc>
          <w:tcPr>
            <w:tcW w:w="1947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2 375,50</w:t>
            </w:r>
          </w:p>
        </w:tc>
        <w:tc>
          <w:tcPr>
            <w:tcW w:w="2030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3 124,00</w:t>
            </w:r>
          </w:p>
        </w:tc>
        <w:tc>
          <w:tcPr>
            <w:tcW w:w="1935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3 342,90</w:t>
            </w:r>
          </w:p>
        </w:tc>
        <w:tc>
          <w:tcPr>
            <w:tcW w:w="1734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3 377,00</w:t>
            </w:r>
          </w:p>
        </w:tc>
      </w:tr>
      <w:tr w:rsidR="00A317BE" w:rsidRPr="00C679E2" w:rsidTr="00046898">
        <w:tc>
          <w:tcPr>
            <w:tcW w:w="642" w:type="dxa"/>
            <w:vMerge/>
          </w:tcPr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17" w:type="dxa"/>
          </w:tcPr>
          <w:p w:rsidR="00A317BE" w:rsidRPr="00542DF4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42D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1357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тыс. тенге</w:t>
            </w:r>
          </w:p>
        </w:tc>
        <w:tc>
          <w:tcPr>
            <w:tcW w:w="1947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30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35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34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317BE" w:rsidRPr="00C679E2" w:rsidTr="00046898">
        <w:tc>
          <w:tcPr>
            <w:tcW w:w="642" w:type="dxa"/>
            <w:vMerge/>
          </w:tcPr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17" w:type="dxa"/>
          </w:tcPr>
          <w:p w:rsidR="00A317BE" w:rsidRPr="00542DF4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42D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Внебюджетные средства</w:t>
            </w:r>
          </w:p>
        </w:tc>
        <w:tc>
          <w:tcPr>
            <w:tcW w:w="1357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тыс. тенге</w:t>
            </w:r>
          </w:p>
        </w:tc>
        <w:tc>
          <w:tcPr>
            <w:tcW w:w="1947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17 950,0</w:t>
            </w:r>
          </w:p>
        </w:tc>
        <w:tc>
          <w:tcPr>
            <w:tcW w:w="2030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18 200,0</w:t>
            </w:r>
          </w:p>
        </w:tc>
        <w:tc>
          <w:tcPr>
            <w:tcW w:w="1935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19 474,0</w:t>
            </w:r>
          </w:p>
        </w:tc>
        <w:tc>
          <w:tcPr>
            <w:tcW w:w="1734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20 837,18</w:t>
            </w:r>
          </w:p>
        </w:tc>
      </w:tr>
      <w:tr w:rsidR="00A317BE" w:rsidRPr="00C679E2" w:rsidTr="00046898">
        <w:tc>
          <w:tcPr>
            <w:tcW w:w="642" w:type="dxa"/>
            <w:vMerge/>
          </w:tcPr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17" w:type="dxa"/>
          </w:tcPr>
          <w:p w:rsidR="00A317BE" w:rsidRPr="00542DF4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42D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357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тыс. тенге</w:t>
            </w:r>
          </w:p>
        </w:tc>
        <w:tc>
          <w:tcPr>
            <w:tcW w:w="1947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30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35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34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317BE" w:rsidRPr="00C679E2" w:rsidTr="00046898">
        <w:tc>
          <w:tcPr>
            <w:tcW w:w="642" w:type="dxa"/>
            <w:vMerge w:val="restart"/>
          </w:tcPr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917" w:type="dxa"/>
          </w:tcPr>
          <w:p w:rsidR="00A317BE" w:rsidRPr="00542DF4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42D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Материально-технические всего, в том числе:</w:t>
            </w:r>
          </w:p>
        </w:tc>
        <w:tc>
          <w:tcPr>
            <w:tcW w:w="1357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ед. изм.</w:t>
            </w:r>
          </w:p>
        </w:tc>
        <w:tc>
          <w:tcPr>
            <w:tcW w:w="1947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30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35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34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317BE" w:rsidRPr="00C679E2" w:rsidTr="00046898">
        <w:tc>
          <w:tcPr>
            <w:tcW w:w="642" w:type="dxa"/>
            <w:vMerge/>
          </w:tcPr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17" w:type="dxa"/>
          </w:tcPr>
          <w:p w:rsidR="00A317BE" w:rsidRPr="00542DF4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42D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БП 353 033 015 414</w:t>
            </w:r>
          </w:p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«Приобретение машин, оборудования, инструментов, производственного и хозяйственного инвентаря»</w:t>
            </w:r>
          </w:p>
        </w:tc>
        <w:tc>
          <w:tcPr>
            <w:tcW w:w="1357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ед. изм.</w:t>
            </w:r>
          </w:p>
        </w:tc>
        <w:tc>
          <w:tcPr>
            <w:tcW w:w="1947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0,0</w:t>
            </w:r>
          </w:p>
        </w:tc>
        <w:tc>
          <w:tcPr>
            <w:tcW w:w="2030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935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34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0,0</w:t>
            </w:r>
          </w:p>
        </w:tc>
      </w:tr>
      <w:tr w:rsidR="00A317BE" w:rsidRPr="00C679E2" w:rsidTr="00046898">
        <w:tc>
          <w:tcPr>
            <w:tcW w:w="642" w:type="dxa"/>
            <w:vMerge/>
          </w:tcPr>
          <w:p w:rsidR="00A317BE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17" w:type="dxa"/>
          </w:tcPr>
          <w:p w:rsidR="00A317BE" w:rsidRPr="00542DF4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42D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357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ед. изм.</w:t>
            </w:r>
          </w:p>
        </w:tc>
        <w:tc>
          <w:tcPr>
            <w:tcW w:w="1947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30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35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34" w:type="dxa"/>
          </w:tcPr>
          <w:p w:rsidR="00A317BE" w:rsidRPr="00C679E2" w:rsidRDefault="00A317BE" w:rsidP="00046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76569" w:rsidRPr="00176569" w:rsidRDefault="00502EF7" w:rsidP="00502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266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sectPr w:rsidR="00176569" w:rsidRPr="00176569" w:rsidSect="00502EF7">
      <w:pgSz w:w="15840" w:h="1224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70AB"/>
    <w:multiLevelType w:val="multilevel"/>
    <w:tmpl w:val="41CA381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130F58E6"/>
    <w:multiLevelType w:val="hybridMultilevel"/>
    <w:tmpl w:val="3E4C3D14"/>
    <w:lvl w:ilvl="0" w:tplc="6F92B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C665E"/>
    <w:multiLevelType w:val="hybridMultilevel"/>
    <w:tmpl w:val="BF6C2DCA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 w15:restartNumberingAfterBreak="0">
    <w:nsid w:val="7890003C"/>
    <w:multiLevelType w:val="hybridMultilevel"/>
    <w:tmpl w:val="7CE02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F7"/>
    <w:rsid w:val="00011803"/>
    <w:rsid w:val="00046898"/>
    <w:rsid w:val="000742E3"/>
    <w:rsid w:val="00076149"/>
    <w:rsid w:val="00082C4B"/>
    <w:rsid w:val="00095CF5"/>
    <w:rsid w:val="000A1836"/>
    <w:rsid w:val="000A63B9"/>
    <w:rsid w:val="000B7B67"/>
    <w:rsid w:val="000D7085"/>
    <w:rsid w:val="000F530D"/>
    <w:rsid w:val="000F7707"/>
    <w:rsid w:val="00113739"/>
    <w:rsid w:val="001253BB"/>
    <w:rsid w:val="00176569"/>
    <w:rsid w:val="001B16B2"/>
    <w:rsid w:val="001C55A5"/>
    <w:rsid w:val="001F18D8"/>
    <w:rsid w:val="00214527"/>
    <w:rsid w:val="0029739D"/>
    <w:rsid w:val="002B1277"/>
    <w:rsid w:val="002B369C"/>
    <w:rsid w:val="00374DB4"/>
    <w:rsid w:val="003C108D"/>
    <w:rsid w:val="003D0D3D"/>
    <w:rsid w:val="003E5160"/>
    <w:rsid w:val="004006E9"/>
    <w:rsid w:val="00440D38"/>
    <w:rsid w:val="0044404A"/>
    <w:rsid w:val="004634B0"/>
    <w:rsid w:val="0049198B"/>
    <w:rsid w:val="004E0845"/>
    <w:rsid w:val="004F70E6"/>
    <w:rsid w:val="004F7969"/>
    <w:rsid w:val="00502EF7"/>
    <w:rsid w:val="00542DF4"/>
    <w:rsid w:val="005D2476"/>
    <w:rsid w:val="00615A4C"/>
    <w:rsid w:val="00647DA7"/>
    <w:rsid w:val="00686B21"/>
    <w:rsid w:val="006A6167"/>
    <w:rsid w:val="006B5B53"/>
    <w:rsid w:val="006D0AB2"/>
    <w:rsid w:val="00706495"/>
    <w:rsid w:val="00724D34"/>
    <w:rsid w:val="00730717"/>
    <w:rsid w:val="00751180"/>
    <w:rsid w:val="00756B6E"/>
    <w:rsid w:val="007621AF"/>
    <w:rsid w:val="00763399"/>
    <w:rsid w:val="00797946"/>
    <w:rsid w:val="007A2F2D"/>
    <w:rsid w:val="007B2AA0"/>
    <w:rsid w:val="007C5DC0"/>
    <w:rsid w:val="007C620B"/>
    <w:rsid w:val="007D5289"/>
    <w:rsid w:val="0080237F"/>
    <w:rsid w:val="008273B2"/>
    <w:rsid w:val="00856097"/>
    <w:rsid w:val="008950FD"/>
    <w:rsid w:val="00897316"/>
    <w:rsid w:val="008A3C29"/>
    <w:rsid w:val="008E3E7A"/>
    <w:rsid w:val="008E7CE9"/>
    <w:rsid w:val="00913CF9"/>
    <w:rsid w:val="00990C93"/>
    <w:rsid w:val="009A0412"/>
    <w:rsid w:val="009B0B7B"/>
    <w:rsid w:val="009B543C"/>
    <w:rsid w:val="009F2DC2"/>
    <w:rsid w:val="00A25560"/>
    <w:rsid w:val="00A317BE"/>
    <w:rsid w:val="00A73836"/>
    <w:rsid w:val="00B46F5C"/>
    <w:rsid w:val="00B515C3"/>
    <w:rsid w:val="00B643FB"/>
    <w:rsid w:val="00BB0026"/>
    <w:rsid w:val="00C03C82"/>
    <w:rsid w:val="00C679E2"/>
    <w:rsid w:val="00CD7C61"/>
    <w:rsid w:val="00CF3DD4"/>
    <w:rsid w:val="00D123BF"/>
    <w:rsid w:val="00D44C03"/>
    <w:rsid w:val="00D50A6D"/>
    <w:rsid w:val="00DA6B31"/>
    <w:rsid w:val="00DE7868"/>
    <w:rsid w:val="00E21398"/>
    <w:rsid w:val="00E569E1"/>
    <w:rsid w:val="00E60E4C"/>
    <w:rsid w:val="00E861C0"/>
    <w:rsid w:val="00F4174B"/>
    <w:rsid w:val="00F64EA9"/>
    <w:rsid w:val="00FA6E14"/>
    <w:rsid w:val="00FF5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12CD"/>
  <w15:docId w15:val="{56A8B2EF-2A07-4660-A47D-EC4DCDE2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EF7"/>
  </w:style>
  <w:style w:type="paragraph" w:styleId="1">
    <w:name w:val="heading 1"/>
    <w:basedOn w:val="a"/>
    <w:next w:val="a"/>
    <w:link w:val="10"/>
    <w:uiPriority w:val="9"/>
    <w:qFormat/>
    <w:rsid w:val="00046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C10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D3D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A73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620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68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C108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B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C2FAE-1EDF-4812-9EE9-801ADFF1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3379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2022-04-02T06:46:00Z</cp:lastPrinted>
  <dcterms:created xsi:type="dcterms:W3CDTF">2022-03-31T12:56:00Z</dcterms:created>
  <dcterms:modified xsi:type="dcterms:W3CDTF">2022-04-02T06:47:00Z</dcterms:modified>
</cp:coreProperties>
</file>