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339e" w14:textId="39d339e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перечня гарантированного объема бесплатной медицинской помощи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15 декабря 2009 года № 2136.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7)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6 и </w:t>
      </w:r>
      <w:r>
        <w:rPr>
          <w:rFonts w:ascii="Consolas"/>
          <w:b w:val="false"/>
          <w:i w:val="false"/>
          <w:color w:val="000000"/>
          <w:sz w:val="20"/>
        </w:rPr>
        <w:t>пунктом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34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 перечень гарантированного объема бесплатной медицинской помощи.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Министерству здравоохранения Республики Казахстан, акимам областей, городов Астаны и Алматы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28 сентября 2007 года № 853 "Об утверждении Перечня гарантированного объема бесплатной медицинской помощи на 2008-2009 годы" (САПП Республики Казахстан, 2007 г., № 35, ст. 397).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Настоящее постановление вводится в действие с 1 января 2010 года и подлежит официальному опубликованию.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6784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15 декабря 2009 года № 2136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</w:t>
      </w:r>
      <w:r>
        <w:br/>
      </w:r>
      <w:r>
        <w:rPr>
          <w:rFonts w:ascii="Consolas"/>
          <w:b/>
          <w:i w:val="false"/>
          <w:color w:val="000000"/>
        </w:rPr>
        <w:t>гарантированного объема бесплатной медицинской помощи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Перечень в редакции постановления Правительства РК от 27.01.2014 </w:t>
      </w:r>
      <w:r>
        <w:rPr>
          <w:rFonts w:ascii="Consolas"/>
          <w:b w:val="false"/>
          <w:i w:val="false"/>
          <w:color w:val="ff0000"/>
          <w:sz w:val="20"/>
        </w:rPr>
        <w:t>№ 29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7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1. Общие положения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Гарантированный объем бесплатной медицинской помощи (далее – ГОБМП)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В ГОБМП включается: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скорая медицинская помощь и санитарная авиация;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амбулаторно-поликлиническая помощь, включающая: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первичную медико-санитарную помощь (далее – ПМСП);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стационарозамещающая медицинская помощь по направлению специалиста ПМСП или профильных специалистов;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восстановительное лечение и медицинская реабилитация;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паллиативная помощь и сестринский уход для категорий населения, установленных Правительством Республики Казахстан.</w:t>
      </w:r>
    </w:p>
    <w:bookmarkStart w:name="z10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Перечень ГОБМП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Скорая медицинская помощь в рамках ГОБМП включает: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оказание медицинской помощи по экстренным показаниям;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доставку пациентов в медицинские организации по экстренным показаниям;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bookmarkStart w:name="z12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Санитарная авиация в рамках ГОБМП включает: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bookmarkStart w:name="z13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Амбулаторно-поликлиническая помощь в рамках ГОБМП включает в себя ПМСП, КДП и предоставляется в объеме согласно приложению к настоящему перечню ГОБМП.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ГОБМП, оказываемый в форме стационарной помощи, согласно видам и объемам, утверждаемым уполномоченным органом, включает: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осмотры, консультации специалистов, в том числе с использованием телемедицинских коммуникаций;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лабораторные и инструментальные исследования в соответствии со стандартами в области здравоохранения;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обеспечение препаратами крови и ее компонентов по медицинским показаниям;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раннюю 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паллиативную помощь и сестринский уход для категорий населения, установленных Правительством Республики Казахстан.</w:t>
      </w:r>
    </w:p>
    <w:bookmarkStart w:name="z17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Стационарозамещающая медицинская помощь в рамках ГОБМП включает: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осмотры, консультации специалистов;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раннюю и продолженную медицинскую реабилитацию для всех категорий граждан по показаниям, включая физиопроцедуры и лечебную физкультуру, согласно стандартам.</w:t>
      </w:r>
    </w:p>
    <w:bookmarkStart w:name="z18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Услуги патологоанатомического бюро (отделений) в рамках ГОБМП включают: 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патологоанатомические вскрытия;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гистологические исследования операционного и биопсийного материала;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цитологические исследования.</w:t>
      </w:r>
    </w:p>
    <w:bookmarkStart w:name="z19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скорой /неотложной/ экстренной медицинской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антирабической помощи по эпидемиологическим показаниям при опасности заражения;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санитарно-профилактической и санитарно-противоэпидемической помощи по показаниям;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иммунопрофилактике/вакцинации;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стационарной и стационарозамещающей помощи.</w:t>
      </w:r>
    </w:p>
    <w:bookmarkStart w:name="z21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Медицинская помощь в рамках ГОБМП включает также лечебно-диагностические услуги с использованием малоинвазивных технологий.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перечню гарантированного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объема бесплатной медицинской помощи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Амбулаторно-поликлиническая помощь</w:t>
      </w:r>
      <w:r>
        <w:br/>
      </w:r>
      <w:r>
        <w:rPr>
          <w:rFonts w:ascii="Consolas"/>
          <w:b/>
          <w:i w:val="false"/>
          <w:color w:val="000000"/>
        </w:rPr>
        <w:t>в рамках гарантированного объема бесплатной медицинской помощи</w:t>
      </w:r>
      <w:r>
        <w:br/>
      </w:r>
      <w:r>
        <w:rPr>
          <w:rFonts w:ascii="Consolas"/>
          <w:b/>
          <w:i w:val="false"/>
          <w:color w:val="000000"/>
        </w:rPr>
        <w:t xml:space="preserve"> 1. Первичная медико-санитарная помощь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7084"/>
        <w:gridCol w:w="4168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Кратность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оказания услуг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Прием и консультации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обращению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Обслуживание на дому специалистами ПМСП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Профилактика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 обращению и по направлению специалистов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Консультирование по вопросам планирования семьи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обращению и по направлению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Введение/извлечение внутриматочной спирали, инъекции контрацептивные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обращению и по направлению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Профилактические медицинские осмотры (скрининговые исследования) целевых групп населения 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Санитарно-противоэпидемические (профилактические) мероприятия в очагах инфекционных заболеваний 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Проведение иммунизации 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в профилактических кабинетах, школах оздоровления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обращению и по направлению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обращению и по направлению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Консультирование по телефону лиц с хроническими формами заболеваний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обращению и по направлению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Медико–социальные и психологические услуги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Патронаж детей, в том числе новорожденных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Согласно установленной уполномоченным органом периодичности и по показаниям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Патронаж беременных женщин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Согласно установленной уполномоченным органом периодичности и по показаниям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 периодичностью в соответствии со стандартами, утвержденными уполномоченным органом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 с профилактической целью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 с профилактической целью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Измерение остроты слуха и зрения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профилактической целью согласно установленной периодичности,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Измерение внутриглазного давления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 профилактической целью согласно установленной периодичности, в остальных случаях по показаниям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 анализ крови с лейкоформулой, гемоглобин, эритроциты, цветовой показатель, лейкоциты, СОЭ, тромбоциты.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 анализ мочи с определением белка и глюкозы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 при обращении с профилактический целью,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Микрореакция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 по обращению,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Копрограмма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 с профилактической целью,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Забор мокроты на выявление туберкулеза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Забор крови на ВИЧ инфекцию и реакцию Вассермана (RW)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Забор и биохимические исследования: холестерин, триглицериды, глюкоза крови, в том числе проведение экспресс-методов с использованием тест-систем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Забор и биохимические исследования: АЛАТ, АСАТ, общий билирубин, мочевина, креатинин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Забор биологического материала на другие виды исследования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Микроскопия вагинального мазка и санация влагалища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 с профилактической целью при обращении,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Иммунохимическое исследование (гемокульт-тест экспресс-методом)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Анализ крови на малярийный плазмодий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Электрокардиограмма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Постановка пробы Манту с 2 ТЕ ППД-Л детям из группы "риска" (в том числе с целью довакцинации и ревакцинации БЦЖ), и при подозрении на туберкулез у детей 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 периодичностью установленной уполномоченным органом, в остальных случаях по показаниям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Флюорография с 15 лет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 с профилактической целью,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Оказание неотложной медицинской помощи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Иммобилизация (наложение марлевых отвердевающих повязок, шин)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Назначение медикаментозного лечения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внутривенных, внутримышечных, подкожных инъекций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Оказание стационарозамещающей помощи, в том числе на дому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Физиопроцедуры детям до 18 лет и массаж детям до 1 года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2. Консультативно-диагностическая помощь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678"/>
        <w:gridCol w:w="2007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Кратность 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оказания услуг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Прием и консультации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направлению специалиста ПМСП;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с установленной уполномоченным органом периодичностью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Лабораторные и инструментальные методы исследования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направлению специалистов ПМСП и профильных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Общеклинические анализы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показаниям, направлению специалистов ПМСП и профильных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Исследование крови на ВИЧ инфекцию и реакцию Вассермана (RW)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Гормональное исследование по направлению специалиста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Определение концентрации иммунносупрессивных препаратов в крови пациентам после трансплантации органов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Биохимические анализы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показаниям, направлению специалистов ПМСП и профильных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Группа крови и резус фактор лицам, подлежащим госпитализации в стационар на операцию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Микробиологические исследования биологического материала (бакпосев)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 показаниям и при обращении пациента с профилактической целью не чаще 1 раза в год 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скрининговых исследований (иммуноферментный анализ, полимеразная цепная реакция) на диагностику вирусных гепатитов "В" и "С":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"В" и "С"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с установленной уполномоченным органом периодичностью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Медицинское освидетельствование на предмет употребления психоактивных веществ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направлении правоохранительных органов, органов следствия и дознания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решению судебных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решению судебных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"Алтын алқа", "Күміс алқа"; получателям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1. Полимеразная цепная реакция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2. Иммунофенотипирование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4. Компьютерная томография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5. Магниторезонансная томография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6. Позитронно-эмиссионная томография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7. Однофотонная эмиссионная компьютерная томография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8. Ангиография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показаниям, направлению специалистов ПМСП и профильных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 показаниям, но не более 2 циклов ЭКО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